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FA94">
      <w:pPr>
        <w:numPr>
          <w:ilvl w:val="0"/>
          <w:numId w:val="0"/>
        </w:numPr>
        <w:spacing w:line="480" w:lineRule="auto"/>
        <w:jc w:val="center"/>
        <w:outlineLvl w:val="0"/>
        <w:rPr>
          <w:rFonts w:hint="default" w:ascii="Times New Roman" w:hAnsi="Times New Roman"/>
          <w:b/>
          <w:bCs/>
          <w:sz w:val="24"/>
          <w:szCs w:val="24"/>
          <w:lang w:val="id-ID"/>
        </w:rPr>
      </w:pPr>
      <w:bookmarkStart w:id="0" w:name="_Toc23994"/>
      <w:bookmarkStart w:id="1" w:name="_Toc10852"/>
      <w:r>
        <w:rPr>
          <w:rFonts w:hint="default" w:ascii="Times New Roman" w:hAnsi="Times New Roman"/>
          <w:b/>
          <w:bCs/>
          <w:sz w:val="24"/>
          <w:szCs w:val="24"/>
          <w:lang w:val="id-ID"/>
        </w:rPr>
        <w:t>BAB V</w:t>
      </w:r>
      <w:bookmarkEnd w:id="0"/>
      <w:bookmarkEnd w:id="1"/>
    </w:p>
    <w:p w14:paraId="6E3E4744">
      <w:pPr>
        <w:numPr>
          <w:ilvl w:val="0"/>
          <w:numId w:val="0"/>
        </w:numPr>
        <w:spacing w:line="480" w:lineRule="auto"/>
        <w:jc w:val="center"/>
        <w:outlineLvl w:val="0"/>
        <w:rPr>
          <w:rFonts w:hint="default" w:ascii="Times New Roman" w:hAnsi="Times New Roman"/>
          <w:b/>
          <w:bCs/>
          <w:sz w:val="24"/>
          <w:szCs w:val="24"/>
          <w:lang w:val="id-ID"/>
        </w:rPr>
      </w:pPr>
      <w:bookmarkStart w:id="2" w:name="_Toc6476"/>
      <w:bookmarkStart w:id="3" w:name="_Toc16760"/>
      <w:r>
        <w:rPr>
          <w:rFonts w:hint="default" w:ascii="Times New Roman" w:hAnsi="Times New Roman"/>
          <w:b/>
          <w:bCs/>
          <w:sz w:val="24"/>
          <w:szCs w:val="24"/>
          <w:lang w:val="id-ID"/>
        </w:rPr>
        <w:t>PENUTUP</w:t>
      </w:r>
      <w:bookmarkEnd w:id="2"/>
      <w:bookmarkEnd w:id="3"/>
    </w:p>
    <w:p w14:paraId="1329A950">
      <w:pPr>
        <w:numPr>
          <w:ilvl w:val="0"/>
          <w:numId w:val="0"/>
        </w:numPr>
        <w:spacing w:line="480" w:lineRule="auto"/>
        <w:jc w:val="center"/>
        <w:rPr>
          <w:rFonts w:hint="default" w:ascii="Times New Roman" w:hAnsi="Times New Roman"/>
          <w:b/>
          <w:bCs/>
          <w:sz w:val="24"/>
          <w:szCs w:val="24"/>
          <w:lang w:val="id-ID"/>
        </w:rPr>
      </w:pPr>
    </w:p>
    <w:p w14:paraId="30464408">
      <w:pPr>
        <w:numPr>
          <w:ilvl w:val="0"/>
          <w:numId w:val="1"/>
        </w:numPr>
        <w:spacing w:line="480" w:lineRule="auto"/>
        <w:ind w:left="425" w:leftChars="0" w:hanging="425" w:firstLineChars="0"/>
        <w:jc w:val="both"/>
        <w:outlineLvl w:val="1"/>
        <w:rPr>
          <w:rFonts w:hint="default" w:ascii="Times New Roman" w:hAnsi="Times New Roman"/>
          <w:b/>
          <w:bCs/>
          <w:sz w:val="24"/>
          <w:szCs w:val="24"/>
          <w:lang w:val="id-ID"/>
        </w:rPr>
      </w:pPr>
      <w:bookmarkStart w:id="4" w:name="_Toc15134"/>
      <w:bookmarkStart w:id="5" w:name="_Toc8908"/>
      <w:r>
        <w:rPr>
          <w:rFonts w:hint="default" w:ascii="Times New Roman" w:hAnsi="Times New Roman"/>
          <w:b/>
          <w:bCs/>
          <w:sz w:val="24"/>
          <w:szCs w:val="24"/>
          <w:lang w:val="id-ID"/>
        </w:rPr>
        <w:t>Kesimpulan</w:t>
      </w:r>
      <w:bookmarkEnd w:id="4"/>
      <w:bookmarkEnd w:id="5"/>
    </w:p>
    <w:p w14:paraId="514A1FCA">
      <w:pPr>
        <w:numPr>
          <w:ilvl w:val="0"/>
          <w:numId w:val="0"/>
        </w:numPr>
        <w:spacing w:line="480" w:lineRule="auto"/>
        <w:ind w:left="720" w:leftChars="0" w:firstLine="720" w:firstLineChars="0"/>
        <w:jc w:val="both"/>
        <w:rPr>
          <w:rFonts w:hint="default" w:ascii="Times New Roman" w:hAnsi="Times New Roman"/>
          <w:b w:val="0"/>
          <w:bCs w:val="0"/>
          <w:sz w:val="24"/>
          <w:szCs w:val="24"/>
          <w:lang w:val="id-ID"/>
        </w:rPr>
      </w:pPr>
      <w:r>
        <w:rPr>
          <w:rFonts w:hint="default" w:ascii="Times New Roman" w:hAnsi="Times New Roman"/>
          <w:b w:val="0"/>
          <w:bCs w:val="0"/>
          <w:sz w:val="24"/>
          <w:szCs w:val="24"/>
          <w:lang w:val="id-ID"/>
        </w:rPr>
        <w:t>Berdasarkan hasil analisis data, pengujian hipotesis, dan pembahasan yang telah dilakukan, penelitian ini membuktikan bahwa Asimetri Informasi memiliki pengaruh yang signifikan terhadap Mekanisme Harga. Hal ini terlihat dari nilai koefisien jalur sebesar 0,873, nilai T-statistic 41,730 (&gt; 1,96), dan p-value 0,000 (&lt; 0,05). Artinya, semakin besar ketidakseimbangan informasi yang dialami konsumen, semakin kuat pula pengaruhnya terhadap pembentukan harga di pasar skincare. Dengan demikian, hipotesis yang menyatakan bahwa Asimetri Informasi berpengaruh  signifikan terhadap Mekanisme Harga dinyatakan diterima. Serta dibuktikan juga dengan nilai R-square sebesar 0,762 menunjukkan bahwa 76,2% variasi dalam mekanisme harga dapat dijelaskan oleh asimetri informasi, sementara 23,8% sisanya dipengaruhi oleh faktor lain di luar penelitian ini. Nilai ini tergolong substantial, sehingga dapat disimpulkan bahwa asimetri informasi merupakan salah satu faktor utama yang memengaruhi mekanisme harga pada pasar skincare yang dikonsumsi Gen Z.</w:t>
      </w:r>
    </w:p>
    <w:p w14:paraId="14B42A88">
      <w:pPr>
        <w:numPr>
          <w:ilvl w:val="0"/>
          <w:numId w:val="1"/>
        </w:numPr>
        <w:spacing w:line="480" w:lineRule="auto"/>
        <w:ind w:left="425" w:leftChars="0" w:hanging="425" w:firstLineChars="0"/>
        <w:jc w:val="both"/>
        <w:rPr>
          <w:rFonts w:hint="default" w:ascii="Times New Roman" w:hAnsi="Times New Roman"/>
          <w:b/>
          <w:bCs/>
          <w:sz w:val="24"/>
          <w:szCs w:val="24"/>
          <w:lang w:val="id-ID"/>
        </w:rPr>
        <w:sectPr>
          <w:headerReference r:id="rId3" w:type="default"/>
          <w:footerReference r:id="rId4" w:type="default"/>
          <w:pgSz w:w="11906" w:h="16838"/>
          <w:pgMar w:top="2268" w:right="1701" w:bottom="1701" w:left="2268" w:header="720" w:footer="720" w:gutter="0"/>
          <w:pgNumType w:fmt="decimal"/>
          <w:cols w:space="0" w:num="1"/>
          <w:rtlGutter w:val="0"/>
          <w:docGrid w:linePitch="360" w:charSpace="0"/>
        </w:sectPr>
      </w:pPr>
    </w:p>
    <w:p w14:paraId="7857BBBE">
      <w:pPr>
        <w:numPr>
          <w:ilvl w:val="0"/>
          <w:numId w:val="1"/>
        </w:numPr>
        <w:spacing w:line="480" w:lineRule="auto"/>
        <w:ind w:left="425" w:leftChars="0" w:hanging="425" w:firstLineChars="0"/>
        <w:jc w:val="both"/>
        <w:outlineLvl w:val="1"/>
        <w:rPr>
          <w:rFonts w:hint="default" w:ascii="Times New Roman" w:hAnsi="Times New Roman"/>
          <w:b/>
          <w:bCs/>
          <w:sz w:val="24"/>
          <w:szCs w:val="24"/>
          <w:lang w:val="id-ID"/>
        </w:rPr>
      </w:pPr>
      <w:bookmarkStart w:id="6" w:name="_Toc18428"/>
      <w:bookmarkStart w:id="7" w:name="_Toc18835"/>
      <w:r>
        <w:rPr>
          <w:rFonts w:hint="default" w:ascii="Times New Roman" w:hAnsi="Times New Roman"/>
          <w:b/>
          <w:bCs/>
          <w:sz w:val="24"/>
          <w:szCs w:val="24"/>
          <w:lang w:val="id-ID"/>
        </w:rPr>
        <w:t>Saran</w:t>
      </w:r>
      <w:bookmarkEnd w:id="6"/>
      <w:bookmarkEnd w:id="7"/>
    </w:p>
    <w:p w14:paraId="2D6917DC">
      <w:pPr>
        <w:numPr>
          <w:ilvl w:val="0"/>
          <w:numId w:val="2"/>
        </w:numPr>
        <w:spacing w:line="480" w:lineRule="auto"/>
        <w:ind w:left="845" w:leftChars="0" w:hanging="425"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Bagi Produsen</w:t>
      </w:r>
    </w:p>
    <w:p w14:paraId="08DA52DB">
      <w:pPr>
        <w:numPr>
          <w:ilvl w:val="0"/>
          <w:numId w:val="0"/>
        </w:numPr>
        <w:spacing w:line="480" w:lineRule="auto"/>
        <w:ind w:left="1000" w:leftChars="0" w:firstLine="720"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Penting bagi pelaku usaha untuk menyampaikan informasi produk secara jelas, akurat, dan tidak berlebihan (overclaim). Kejujuran dalam pemasaran akan membantu membangun kepercayaan konsumen sekaligus menciptakan mekanisme harga yang sehat dan berkelanjutan.</w:t>
      </w:r>
    </w:p>
    <w:p w14:paraId="3544DB99">
      <w:pPr>
        <w:numPr>
          <w:ilvl w:val="0"/>
          <w:numId w:val="2"/>
        </w:numPr>
        <w:spacing w:line="480" w:lineRule="auto"/>
        <w:ind w:left="845" w:leftChars="0" w:hanging="425"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 xml:space="preserve">Bagi konsumen </w:t>
      </w:r>
    </w:p>
    <w:p w14:paraId="50B9696B">
      <w:pPr>
        <w:numPr>
          <w:ilvl w:val="0"/>
          <w:numId w:val="0"/>
        </w:numPr>
        <w:spacing w:line="480" w:lineRule="auto"/>
        <w:ind w:left="1000" w:leftChars="0" w:firstLine="720"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Konsumen, khususnya Gen Z, diharapkan lebih selektif dalam menerima informasi produk. Mengandalkan berbagai sumber terpercaya dan membandingkan informasi sebelum membeli akan membantu menghindari dampak negatif dari asimetri informasi.</w:t>
      </w:r>
    </w:p>
    <w:p w14:paraId="109F4C58">
      <w:pPr>
        <w:numPr>
          <w:ilvl w:val="0"/>
          <w:numId w:val="2"/>
        </w:numPr>
        <w:spacing w:line="480" w:lineRule="auto"/>
        <w:ind w:left="845" w:leftChars="0" w:hanging="425"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Pemerintah dan lembaga</w:t>
      </w:r>
    </w:p>
    <w:p w14:paraId="1ABB0F88">
      <w:pPr>
        <w:numPr>
          <w:ilvl w:val="0"/>
          <w:numId w:val="0"/>
        </w:numPr>
        <w:spacing w:line="480" w:lineRule="auto"/>
        <w:ind w:left="1000" w:leftChars="0" w:firstLine="720"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Terkait perlu memperketat pengawasan terhadap praktik pemasaran produk skincare. Regulasi yang tegas mengenai klaim produk akan membantu melindungi konsumen dari informasi yang menyesatkan dan menciptakan persaingan pasar yang lebih sehat.</w:t>
      </w:r>
    </w:p>
    <w:p w14:paraId="7469AF8E">
      <w:pPr>
        <w:numPr>
          <w:ilvl w:val="0"/>
          <w:numId w:val="2"/>
        </w:numPr>
        <w:spacing w:line="480" w:lineRule="auto"/>
        <w:ind w:left="845" w:leftChars="0" w:hanging="425"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Peneliti Selanjutnya</w:t>
      </w:r>
    </w:p>
    <w:p w14:paraId="29CAF576">
      <w:pPr>
        <w:numPr>
          <w:ilvl w:val="0"/>
          <w:numId w:val="0"/>
        </w:numPr>
        <w:spacing w:line="480" w:lineRule="auto"/>
        <w:ind w:left="1000" w:leftChars="0" w:firstLine="720" w:firstLineChars="0"/>
        <w:jc w:val="both"/>
        <w:outlineLvl w:val="9"/>
        <w:rPr>
          <w:rFonts w:hint="default" w:ascii="Times New Roman" w:hAnsi="Times New Roman"/>
          <w:b w:val="0"/>
          <w:bCs w:val="0"/>
          <w:sz w:val="24"/>
          <w:szCs w:val="24"/>
          <w:lang w:val="id-ID"/>
        </w:rPr>
      </w:pPr>
      <w:r>
        <w:rPr>
          <w:rFonts w:hint="default" w:ascii="Times New Roman" w:hAnsi="Times New Roman"/>
          <w:b w:val="0"/>
          <w:bCs w:val="0"/>
          <w:sz w:val="24"/>
          <w:szCs w:val="24"/>
          <w:lang w:val="id-ID"/>
        </w:rPr>
        <w:t>Disarankan untuk memperluas lingkup penelitian dengan menambahkan variabel lain seperti persepsi nilai, kualitas produk, atau kepercayaan merek sebagai variabel mediasi atau moderasi. Hal ini dapat memberikan gambaran yang lebih menyeluruh mengenai faktor-faktor yang memengaruhi mekanisme harga.</w:t>
      </w:r>
    </w:p>
    <w:p w14:paraId="58F11ADB">
      <w:pPr>
        <w:numPr>
          <w:ilvl w:val="0"/>
          <w:numId w:val="0"/>
        </w:numPr>
        <w:spacing w:line="480" w:lineRule="auto"/>
        <w:jc w:val="both"/>
        <w:rPr>
          <w:rFonts w:hint="default" w:ascii="Times New Roman" w:hAnsi="Times New Roman"/>
          <w:b w:val="0"/>
          <w:bCs w:val="0"/>
          <w:sz w:val="24"/>
          <w:szCs w:val="24"/>
          <w:lang w:val="id-ID"/>
        </w:rPr>
      </w:pPr>
    </w:p>
    <w:p w14:paraId="186BD5A2">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bCs/>
          <w:sz w:val="24"/>
          <w:szCs w:val="24"/>
          <w:lang w:val="id-ID"/>
        </w:rPr>
        <w:sectPr>
          <w:headerReference r:id="rId5" w:type="default"/>
          <w:footerReference r:id="rId6" w:type="default"/>
          <w:pgSz w:w="11906" w:h="16838"/>
          <w:pgMar w:top="2268" w:right="1701" w:bottom="1701" w:left="2268" w:header="720" w:footer="720" w:gutter="0"/>
          <w:pgNumType w:fmt="decimal"/>
          <w:cols w:space="0" w:num="1"/>
          <w:rtlGutter w:val="0"/>
          <w:docGrid w:linePitch="360" w:charSpace="0"/>
        </w:sectPr>
      </w:pPr>
    </w:p>
    <w:p w14:paraId="47257563">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0"/>
        <w:rPr>
          <w:rFonts w:hint="default" w:ascii="Times New Roman" w:hAnsi="Times New Roman" w:cs="Times New Roman"/>
          <w:b/>
          <w:bCs/>
          <w:sz w:val="24"/>
          <w:szCs w:val="24"/>
          <w:lang w:val="id-ID"/>
        </w:rPr>
      </w:pPr>
      <w:bookmarkStart w:id="8" w:name="_Toc15004"/>
      <w:bookmarkStart w:id="9" w:name="_Toc31133"/>
      <w:r>
        <w:rPr>
          <w:rFonts w:hint="default" w:ascii="Times New Roman" w:hAnsi="Times New Roman" w:cs="Times New Roman"/>
          <w:b/>
          <w:bCs/>
          <w:sz w:val="24"/>
          <w:szCs w:val="24"/>
          <w:lang w:val="id-ID"/>
        </w:rPr>
        <w:t>DAFTAR PUSTAKA</w:t>
      </w:r>
      <w:bookmarkEnd w:id="8"/>
      <w:bookmarkEnd w:id="9"/>
    </w:p>
    <w:p w14:paraId="2E0D7D4F">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lang w:val="id-ID"/>
        </w:rPr>
      </w:pPr>
    </w:p>
    <w:p w14:paraId="6B657880">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Akerlof, G. A. (1970). The Market for “Lemons”: Quality Uncertainty and the Market Mechanism. The Quarterly Journal of Economics, 84(3), 488–500. https://doi.org/10.2307/1879431</w:t>
      </w:r>
    </w:p>
    <w:p w14:paraId="68F60945">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Katadata Insight Center. (2023). Studi Perilaku Konsumen Gen Z Terhadap Produk Skincare di Indonesia. Diakses dari </w:t>
      </w:r>
      <w:r>
        <w:rPr>
          <w:rFonts w:hint="default" w:ascii="Times New Roman" w:hAnsi="Times New Roman" w:cs="Times New Roman"/>
          <w:b w:val="0"/>
          <w:bCs w:val="0"/>
          <w:sz w:val="24"/>
          <w:szCs w:val="24"/>
          <w:lang w:val="id-ID"/>
        </w:rPr>
        <w:fldChar w:fldCharType="begin"/>
      </w:r>
      <w:r>
        <w:rPr>
          <w:rFonts w:hint="default" w:ascii="Times New Roman" w:hAnsi="Times New Roman" w:cs="Times New Roman"/>
          <w:b w:val="0"/>
          <w:bCs w:val="0"/>
          <w:sz w:val="24"/>
          <w:szCs w:val="24"/>
          <w:lang w:val="id-ID"/>
        </w:rPr>
        <w:instrText xml:space="preserve"> HYPERLINK "https://katadata.co.id" \t "_new" </w:instrText>
      </w:r>
      <w:r>
        <w:rPr>
          <w:rFonts w:hint="default" w:ascii="Times New Roman" w:hAnsi="Times New Roman" w:cs="Times New Roman"/>
          <w:b w:val="0"/>
          <w:bCs w:val="0"/>
          <w:sz w:val="24"/>
          <w:szCs w:val="24"/>
          <w:lang w:val="id-ID"/>
        </w:rPr>
        <w:fldChar w:fldCharType="separate"/>
      </w:r>
      <w:r>
        <w:rPr>
          <w:rFonts w:hint="default" w:ascii="Times New Roman" w:hAnsi="Times New Roman" w:cs="Times New Roman"/>
          <w:b w:val="0"/>
          <w:bCs w:val="0"/>
          <w:sz w:val="24"/>
          <w:szCs w:val="24"/>
          <w:lang w:val="id-ID"/>
        </w:rPr>
        <w:t>https://katadata.co.id</w:t>
      </w:r>
      <w:r>
        <w:rPr>
          <w:rFonts w:hint="default" w:ascii="Times New Roman" w:hAnsi="Times New Roman" w:cs="Times New Roman"/>
          <w:b w:val="0"/>
          <w:bCs w:val="0"/>
          <w:sz w:val="24"/>
          <w:szCs w:val="24"/>
          <w:lang w:val="id-ID"/>
        </w:rPr>
        <w:fldChar w:fldCharType="end"/>
      </w:r>
    </w:p>
    <w:p w14:paraId="1FDDF14A">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Kim, S., Park, Y., &amp; Jang, H. (2021). Price Premium in Skincare Industry: The Role of Misleading Claims. Journal of Consumer Policy, 44(2), 253–270.</w:t>
      </w:r>
    </w:p>
    <w:p w14:paraId="5040A050">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Mankiw, N. G. (2021). Prinsip-Prinsip Ekonomi (Edisi ke-8). Jakarta: Salemba Empat.</w:t>
      </w:r>
    </w:p>
    <w:p w14:paraId="1AC54058">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Parkin, M., &amp; Bade, R. (2019). Foundations of Economics (8th ed.). Pearson Education.</w:t>
      </w:r>
    </w:p>
    <w:p w14:paraId="48658562">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Pratama, R. A. (2023). Pengaruh Media Sosial Terhadap Pembentukan Harga Produk Skincare di Kalangan Gen Z. Jurnal Ekonomi Digital, 5(1), 77–90.</w:t>
      </w:r>
    </w:p>
    <w:p w14:paraId="5082AC60">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Putri, D. A., &amp; Dewi, S. R. (2022). FOMO dan Persepsi Harga pada Generasi Z dalam Konsumsi Skincare Viral di TikTok. Jurnal Psikologi Konsumen, 6(2), 112–125.</w:t>
      </w:r>
    </w:p>
    <w:p w14:paraId="3CEF5B8F">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Rahmawati, A. (2021). Analisis Pricing Strategy Berdasarkan Klaim Produk dalam Industri Kosmetik. Jurnal Ekonomi dan Bisnis, 9(2), 56–67.</w:t>
      </w:r>
    </w:p>
    <w:p w14:paraId="19083D66">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Rahayu, F. (2020). Mekanisme Harga dalam E-Commerce Produk Skincare: Studi Kasus Shopee. Jurnal Ilmu Ekonomi dan Digitalisasi, 3(1), 41–50.</w:t>
      </w:r>
    </w:p>
    <w:p w14:paraId="02EF616F">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sectPr>
          <w:headerReference r:id="rId7" w:type="default"/>
          <w:footerReference r:id="rId8" w:type="default"/>
          <w:pgSz w:w="11906" w:h="16838"/>
          <w:pgMar w:top="2268" w:right="1701" w:bottom="1701" w:left="2268" w:header="720" w:footer="720" w:gutter="0"/>
          <w:pgNumType w:fmt="decimal"/>
          <w:cols w:space="0" w:num="1"/>
          <w:rtlGutter w:val="0"/>
          <w:docGrid w:linePitch="360" w:charSpace="0"/>
        </w:sectPr>
      </w:pPr>
    </w:p>
    <w:p w14:paraId="29E08F1A">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Sadono, S. (2019). Ekonomi Mikro: Teori dan Aplikasi (Edisi Revisi). Jakarta: RajaGrafindo Persada.</w:t>
      </w:r>
    </w:p>
    <w:p w14:paraId="2A635A74">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Samuelson, P. A., &amp; Nordhaus, W. D. (2020). Economics (20th ed.). McGraw-Hill Education.</w:t>
      </w:r>
    </w:p>
    <w:p w14:paraId="1575FDFF">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Siregar, M. &amp; Yulianto, H. (2020). Mekanisme Harga Produk Skincare di Marketplace: Pengaruh Promo dan Endorsement. Jurnal Bisnis dan Teknologi, 4(2), 88–96.</w:t>
      </w:r>
    </w:p>
    <w:p w14:paraId="7E6D0F06">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Wulandari, N. (2021). Efek Asimetri Informasi Dalam Penetapan Harga Produk Kosmetik Online. Jurnal Manajemen Pemasaran, 8(1), 15–23.</w:t>
      </w:r>
    </w:p>
    <w:p w14:paraId="07BE0554">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Yuliana, L. (2021). Mekanisme Harga dalam Ekonomi Digital: Studi Branding dan Testimoni di Marketplace. Jurnal Ekonomi Kreatif, 3(2), 27–34.</w:t>
      </w:r>
    </w:p>
    <w:p w14:paraId="4AC8ED46">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Nurhasanah, L., &amp; Yusuf, M. (2022). Pengaruh Informasi Digital terhadap Persepsi Harga Produk Kosmetik pada Generasi Milenial. Jurnal Ekonomi dan Inovasi Digital, 6(1), 65–78.</w:t>
      </w:r>
    </w:p>
    <w:p w14:paraId="5245863F">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Ramadhani, S., &amp; Fitriani, R. (2023). Skincare Pricing Strategy in the Era of TikTok Shop. Jurnal Pemasaran Digital, 2(3), 102–114.</w:t>
      </w:r>
    </w:p>
    <w:p w14:paraId="3C882DA6">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Kementerian Perdagangan Republik Indonesia. (2022). Pedoman Informasi Harga Digital. Jakarta: Kemendag RI.</w:t>
      </w:r>
    </w:p>
    <w:p w14:paraId="09880FCE">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Statista. (2023). Skincare Market in Indonesia - Revenue Forecast and Trends. Diakses dari </w:t>
      </w:r>
      <w:r>
        <w:rPr>
          <w:rFonts w:hint="default" w:ascii="Times New Roman" w:hAnsi="Times New Roman" w:cs="Times New Roman"/>
          <w:b w:val="0"/>
          <w:bCs w:val="0"/>
          <w:sz w:val="24"/>
          <w:szCs w:val="24"/>
          <w:lang w:val="id-ID"/>
        </w:rPr>
        <w:fldChar w:fldCharType="begin"/>
      </w:r>
      <w:r>
        <w:rPr>
          <w:rFonts w:hint="default" w:ascii="Times New Roman" w:hAnsi="Times New Roman" w:cs="Times New Roman"/>
          <w:b w:val="0"/>
          <w:bCs w:val="0"/>
          <w:sz w:val="24"/>
          <w:szCs w:val="24"/>
          <w:lang w:val="id-ID"/>
        </w:rPr>
        <w:instrText xml:space="preserve"> HYPERLINK "https://www.statista.com" \t "_new" </w:instrText>
      </w:r>
      <w:r>
        <w:rPr>
          <w:rFonts w:hint="default" w:ascii="Times New Roman" w:hAnsi="Times New Roman" w:cs="Times New Roman"/>
          <w:b w:val="0"/>
          <w:bCs w:val="0"/>
          <w:sz w:val="24"/>
          <w:szCs w:val="24"/>
          <w:lang w:val="id-ID"/>
        </w:rPr>
        <w:fldChar w:fldCharType="separate"/>
      </w:r>
      <w:r>
        <w:rPr>
          <w:rFonts w:hint="default" w:ascii="Times New Roman" w:hAnsi="Times New Roman" w:cs="Times New Roman"/>
          <w:b w:val="0"/>
          <w:bCs w:val="0"/>
          <w:sz w:val="24"/>
          <w:szCs w:val="24"/>
          <w:lang w:val="id-ID"/>
        </w:rPr>
        <w:t>https://www.statista.com</w:t>
      </w:r>
      <w:r>
        <w:rPr>
          <w:rFonts w:hint="default" w:ascii="Times New Roman" w:hAnsi="Times New Roman" w:cs="Times New Roman"/>
          <w:b w:val="0"/>
          <w:bCs w:val="0"/>
          <w:sz w:val="24"/>
          <w:szCs w:val="24"/>
          <w:lang w:val="id-ID"/>
        </w:rPr>
        <w:fldChar w:fldCharType="end"/>
      </w:r>
    </w:p>
    <w:p w14:paraId="1D4619FD">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Dinas Kependudukan dan Pencatatan Sipil Kabupaten Agam. (2023). Data Jumlah Penduduk Kabupaten Agam Tahun 2023. Agam: Disdukcapil.</w:t>
      </w:r>
    </w:p>
    <w:p w14:paraId="3F655303">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 Sugiyono. (2019). Metode Penelitian Kuantitatif, Kualitatif, dan R&amp;D. Bandung: Alfabeta.</w:t>
      </w:r>
    </w:p>
    <w:p w14:paraId="4EE18D28">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Mishra, A., &amp; Pandey, N. (2023). Pricing information asymmetry in healthcare: Stakeholder analysis and research insights. International Journal of Pharmaceutical and Healthcare Marketing. </w:t>
      </w:r>
      <w:r>
        <w:rPr>
          <w:rFonts w:hint="default" w:ascii="Times New Roman" w:hAnsi="Times New Roman" w:cs="Times New Roman"/>
          <w:b w:val="0"/>
          <w:bCs w:val="0"/>
          <w:sz w:val="24"/>
          <w:szCs w:val="24"/>
          <w:lang w:val="id-ID"/>
        </w:rPr>
        <w:fldChar w:fldCharType="begin"/>
      </w:r>
      <w:r>
        <w:rPr>
          <w:rFonts w:hint="default" w:ascii="Times New Roman" w:hAnsi="Times New Roman" w:cs="Times New Roman"/>
          <w:b w:val="0"/>
          <w:bCs w:val="0"/>
          <w:sz w:val="24"/>
          <w:szCs w:val="24"/>
          <w:lang w:val="id-ID"/>
        </w:rPr>
        <w:instrText xml:space="preserve"> HYPERLINK "https://doi.org/10.1108/IJPHM-01-2023-0010" \t "_new" </w:instrText>
      </w:r>
      <w:r>
        <w:rPr>
          <w:rFonts w:hint="default" w:ascii="Times New Roman" w:hAnsi="Times New Roman" w:cs="Times New Roman"/>
          <w:b w:val="0"/>
          <w:bCs w:val="0"/>
          <w:sz w:val="24"/>
          <w:szCs w:val="24"/>
          <w:lang w:val="id-ID"/>
        </w:rPr>
        <w:fldChar w:fldCharType="separate"/>
      </w:r>
      <w:r>
        <w:rPr>
          <w:rFonts w:hint="default" w:ascii="Times New Roman" w:hAnsi="Times New Roman" w:cs="Times New Roman"/>
          <w:b w:val="0"/>
          <w:bCs w:val="0"/>
          <w:sz w:val="24"/>
          <w:szCs w:val="24"/>
          <w:lang w:val="id-ID"/>
        </w:rPr>
        <w:t>https://doi.org/10.1108/IJPHM-01-2023-0010</w:t>
      </w:r>
      <w:r>
        <w:rPr>
          <w:rFonts w:hint="default" w:ascii="Times New Roman" w:hAnsi="Times New Roman" w:cs="Times New Roman"/>
          <w:b w:val="0"/>
          <w:bCs w:val="0"/>
          <w:sz w:val="24"/>
          <w:szCs w:val="24"/>
          <w:lang w:val="id-ID"/>
        </w:rPr>
        <w:fldChar w:fldCharType="end"/>
      </w:r>
    </w:p>
    <w:p w14:paraId="2410381D">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 J. F. Hair dan Dkk, ―Multivariate Data Analysis‖ (European Business Review, 2010), h 212</w:t>
      </w:r>
    </w:p>
    <w:p w14:paraId="6A107780">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 Imam Ghozali dan Hengky Latan, ―Partial Least Squares Konsep Teknik dan Aplikasi dengan Program Smart PLS 3.0‖ (Semarang: Universitas Diponegoro Semarang, 2015), h. 73.</w:t>
      </w:r>
    </w:p>
    <w:p w14:paraId="72D75269">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Hair, J.F., Hult, G.T.M., Ringle, C., &amp; Sarstedt, M. (2019). A Primer on Partial Least Squares Structural Equation Modeling (PLS-SEM).</w:t>
      </w:r>
    </w:p>
    <w:p w14:paraId="1F95ECA8">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Sarstedt, M., Ringle, C.M., &amp; Hair, J.F. (2017). Partial Least Squares Structural Equation Modeling. Springer International Publishing.</w:t>
      </w:r>
    </w:p>
    <w:p w14:paraId="02415B3A">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Katadata Insight Center. (2022). Tren Belanja Skincare Generasi Z di Indonesia. Katadata.co.id.</w:t>
      </w:r>
    </w:p>
    <w:p w14:paraId="52E95ADB">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McKinsey &amp; Company. (2023). The Beauty Market in 2023: A Special State of Fashion Report. McKinsey &amp; Company.</w:t>
      </w:r>
    </w:p>
    <w:p w14:paraId="0F389A1F">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Kim, S., et al. (2021). Price Premium in Skincare Industry: The Role of Misleading Claims. Journal of Business Research, 132, 233–245. </w:t>
      </w:r>
      <w:r>
        <w:rPr>
          <w:rFonts w:hint="default" w:ascii="Times New Roman" w:hAnsi="Times New Roman" w:cs="Times New Roman"/>
          <w:b w:val="0"/>
          <w:bCs w:val="0"/>
          <w:sz w:val="24"/>
          <w:szCs w:val="24"/>
          <w:lang w:val="id-ID"/>
        </w:rPr>
        <w:fldChar w:fldCharType="begin"/>
      </w:r>
      <w:r>
        <w:rPr>
          <w:rFonts w:hint="default" w:ascii="Times New Roman" w:hAnsi="Times New Roman" w:cs="Times New Roman"/>
          <w:b w:val="0"/>
          <w:bCs w:val="0"/>
          <w:sz w:val="24"/>
          <w:szCs w:val="24"/>
          <w:lang w:val="id-ID"/>
        </w:rPr>
        <w:instrText xml:space="preserve"> HYPERLINK "https://doi.org/10.1016/j.jbusres.2021.04.054" </w:instrText>
      </w:r>
      <w:r>
        <w:rPr>
          <w:rFonts w:hint="default" w:ascii="Times New Roman" w:hAnsi="Times New Roman" w:cs="Times New Roman"/>
          <w:b w:val="0"/>
          <w:bCs w:val="0"/>
          <w:sz w:val="24"/>
          <w:szCs w:val="24"/>
          <w:lang w:val="id-ID"/>
        </w:rPr>
        <w:fldChar w:fldCharType="separate"/>
      </w:r>
      <w:r>
        <w:rPr>
          <w:rStyle w:val="6"/>
          <w:rFonts w:hint="default" w:ascii="Times New Roman" w:hAnsi="Times New Roman" w:cs="Times New Roman"/>
          <w:b w:val="0"/>
          <w:bCs w:val="0"/>
          <w:sz w:val="24"/>
          <w:szCs w:val="24"/>
          <w:lang w:val="id-ID"/>
        </w:rPr>
        <w:t>https://doi.org/10.1016/j.jbusres.2021.04.054</w:t>
      </w:r>
      <w:r>
        <w:rPr>
          <w:rFonts w:hint="default" w:ascii="Times New Roman" w:hAnsi="Times New Roman" w:cs="Times New Roman"/>
          <w:b w:val="0"/>
          <w:bCs w:val="0"/>
          <w:sz w:val="24"/>
          <w:szCs w:val="24"/>
          <w:lang w:val="id-ID"/>
        </w:rPr>
        <w:fldChar w:fldCharType="end"/>
      </w:r>
    </w:p>
    <w:p w14:paraId="297220D0">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Sukirno, S. (2011). Teori Mikroekonomi: Suatu Pengantar. Rajawali Pers.</w:t>
      </w:r>
    </w:p>
    <w:p w14:paraId="46688623">
      <w:pPr>
        <w:keepNext w:val="0"/>
        <w:keepLines w:val="0"/>
        <w:pageBreakBefore w:val="0"/>
        <w:widowControl/>
        <w:numPr>
          <w:ilvl w:val="0"/>
          <w:numId w:val="0"/>
        </w:numPr>
        <w:kinsoku/>
        <w:wordWrap/>
        <w:overflowPunct/>
        <w:topLinePunct w:val="0"/>
        <w:autoSpaceDE/>
        <w:autoSpaceDN/>
        <w:bidi w:val="0"/>
        <w:adjustRightInd/>
        <w:snapToGrid/>
        <w:spacing w:line="480" w:lineRule="auto"/>
        <w:ind w:left="480" w:hanging="480" w:hangingChars="20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Euromonitor International. (2023). Beauty and Personal Care in Indonesia. Euromonitor International.</w:t>
      </w:r>
    </w:p>
    <w:p w14:paraId="6C974C2C">
      <w:r>
        <w:rPr>
          <w:rFonts w:hint="default" w:ascii="Times New Roman" w:hAnsi="Times New Roman" w:cs="Times New Roman"/>
          <w:b w:val="0"/>
          <w:bCs w:val="0"/>
          <w:sz w:val="24"/>
          <w:szCs w:val="24"/>
          <w:lang w:val="id-ID"/>
        </w:rPr>
        <w:t>W. W. Chin, The Partial Least Squares Approach to Structural Equation Modeling, dalam Imam Ghozali dan Hengky Latan, Partial Least Squares: Konsep, Teknik, dan Aplikasi Menggunakan Program SmartPLS 3.0 (Semarang: Badan Penerbit Universitas Diponegoro, 2015), hlm</w:t>
      </w:r>
      <w:bookmarkStart w:id="10" w:name="_GoBack"/>
      <w:bookmarkEnd w:id="1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E79DE">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Kotak Teks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9F193">
                          <w:pPr>
                            <w:pStyle w:val="4"/>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KNH&#10;6x0nAgAAZAQAAA4AAAAAAAAAAQAgAAAAHwEAAGRycy9lMm9Eb2MueG1sUEsFBgAAAAAGAAYAWQEA&#10;ALgFAAAAAA==&#10;">
              <v:fill on="f" focussize="0,0"/>
              <v:stroke on="f" weight="0.5pt"/>
              <v:imagedata o:title=""/>
              <o:lock v:ext="edit" aspectratio="f"/>
              <v:textbox inset="0mm,0mm,0mm,0mm" style="mso-fit-shape-to-text:t;">
                <w:txbxContent>
                  <w:p w14:paraId="10C9F193">
                    <w:pPr>
                      <w:pStyle w:val="4"/>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0BE7F">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F2215">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Kotak Teks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5E244">
                          <w:pPr>
                            <w:pStyle w:val="4"/>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O6I&#10;A0MnAgAAZAQAAA4AAAAAAAAAAQAgAAAAHwEAAGRycy9lMm9Eb2MueG1sUEsFBgAAAAAGAAYAWQEA&#10;ALgFAAAAAA==&#10;">
              <v:fill on="f" focussize="0,0"/>
              <v:stroke on="f" weight="0.5pt"/>
              <v:imagedata o:title=""/>
              <o:lock v:ext="edit" aspectratio="f"/>
              <v:textbox inset="0mm,0mm,0mm,0mm" style="mso-fit-shape-to-text:t;">
                <w:txbxContent>
                  <w:p w14:paraId="7215E244">
                    <w:pPr>
                      <w:pStyle w:val="4"/>
                    </w:pPr>
                    <w:r>
                      <w:fldChar w:fldCharType="begin"/>
                    </w:r>
                    <w:r>
                      <w:instrText xml:space="preserve"> PAGE  \* MERGEFORMAT </w:instrText>
                    </w:r>
                    <w:r>
                      <w:fldChar w:fldCharType="separate"/>
                    </w:r>
                    <w: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739C9">
    <w:pPr>
      <w:pStyle w:val="5"/>
    </w:pP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2910840" cy="2541905"/>
          <wp:effectExtent l="0" t="0" r="3810" b="10795"/>
          <wp:wrapNone/>
          <wp:docPr id="121"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1488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Kotak Teks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60912">
                          <w:pPr>
                            <w:pStyle w:val="5"/>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wVXS&#10;SyYCAABkBAAADgAAAAAAAAABACAAAAAfAQAAZHJzL2Uyb0RvYy54bWxQSwUGAAAAAAYABgBZAQAA&#10;twUAAAAA&#10;">
              <v:fill on="f" focussize="0,0"/>
              <v:stroke on="f" weight="0.5pt"/>
              <v:imagedata o:title=""/>
              <o:lock v:ext="edit" aspectratio="f"/>
              <v:textbox inset="0mm,0mm,0mm,0mm" style="mso-fit-shape-to-text:t;">
                <w:txbxContent>
                  <w:p w14:paraId="5A260912">
                    <w:pPr>
                      <w:pStyle w:val="5"/>
                    </w:pPr>
                    <w:r>
                      <w:fldChar w:fldCharType="begin"/>
                    </w:r>
                    <w:r>
                      <w:instrText xml:space="preserve"> PAGE  \* MERGEFORMAT </w:instrText>
                    </w:r>
                    <w:r>
                      <w:fldChar w:fldCharType="separate"/>
                    </w:r>
                    <w:r>
                      <w:t>75</w:t>
                    </w:r>
                    <w:r>
                      <w:fldChar w:fldCharType="end"/>
                    </w:r>
                  </w:p>
                </w:txbxContent>
              </v:textbox>
            </v:shape>
          </w:pict>
        </mc:Fallback>
      </mc:AlternateContent>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2910840" cy="2541905"/>
          <wp:effectExtent l="0" t="0" r="3810" b="10795"/>
          <wp:wrapNone/>
          <wp:docPr id="122"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497FF">
    <w:pPr>
      <w:pStyle w:val="5"/>
    </w:pPr>
    <w:r>
      <w:rPr>
        <w:sz w:val="18"/>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2910840" cy="2541905"/>
          <wp:effectExtent l="0" t="0" r="3810" b="10795"/>
          <wp:wrapNone/>
          <wp:docPr id="37"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7C3D53"/>
    <w:multiLevelType w:val="singleLevel"/>
    <w:tmpl w:val="227C3D53"/>
    <w:lvl w:ilvl="0" w:tentative="0">
      <w:start w:val="1"/>
      <w:numFmt w:val="upperLetter"/>
      <w:lvlText w:val="%1."/>
      <w:lvlJc w:val="left"/>
      <w:pPr>
        <w:tabs>
          <w:tab w:val="left" w:pos="425"/>
        </w:tabs>
        <w:ind w:left="425" w:leftChars="0" w:hanging="425" w:firstLineChars="0"/>
      </w:pPr>
      <w:rPr>
        <w:rFonts w:hint="default"/>
      </w:rPr>
    </w:lvl>
  </w:abstractNum>
  <w:abstractNum w:abstractNumId="1">
    <w:nsid w:val="745C675F"/>
    <w:multiLevelType w:val="singleLevel"/>
    <w:tmpl w:val="745C675F"/>
    <w:lvl w:ilvl="0" w:tentative="0">
      <w:start w:val="1"/>
      <w:numFmt w:val="decimal"/>
      <w:lvlText w:val="%1."/>
      <w:lvlJc w:val="left"/>
      <w:pPr>
        <w:tabs>
          <w:tab w:val="left" w:pos="845"/>
        </w:tabs>
        <w:ind w:left="84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2529B"/>
    <w:rsid w:val="16125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character" w:styleId="6">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2025-08-31T13:54:00Z</dcterms:created>
  <dc:creator>putri nurhafizah</dc:creator>
  <cp:lastModifiedBy>putri nurhafizah</cp:lastModifiedBy>
  <dcterms:modified xsi:type="dcterms:W3CDTF">2025-08-31T13:59:24Z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1057-12.2.0.21936</vt:lpwstr>
  </property>
  <property fmtid="{D5CDD505-2E9C-101B-9397-08002B2CF9AE}" pid="3" name="ICV">
    <vt:lpwstr>8739339127DF427B91921C5A51EEFE78_11</vt:lpwstr>
  </property>
</Properties>
</file>