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D83A7" w14:textId="77777777" w:rsidR="008740C7" w:rsidRDefault="008740C7" w:rsidP="008740C7">
      <w:pPr>
        <w:pStyle w:val="BodyText"/>
        <w:spacing w:before="1" w:line="480" w:lineRule="auto"/>
        <w:ind w:left="426" w:right="-1"/>
        <w:jc w:val="center"/>
        <w:rPr>
          <w:b/>
          <w:bCs/>
        </w:rPr>
      </w:pPr>
      <w:r>
        <w:rPr>
          <w:b/>
          <w:bCs/>
        </w:rPr>
        <w:t>BAB V</w:t>
      </w:r>
    </w:p>
    <w:p w14:paraId="25807FC0" w14:textId="77777777" w:rsidR="008740C7" w:rsidRDefault="008740C7" w:rsidP="008740C7">
      <w:pPr>
        <w:pStyle w:val="BodyText"/>
        <w:spacing w:before="1" w:line="480" w:lineRule="auto"/>
        <w:ind w:left="426" w:right="-1"/>
        <w:jc w:val="center"/>
        <w:rPr>
          <w:b/>
          <w:bCs/>
        </w:rPr>
      </w:pPr>
      <w:r>
        <w:rPr>
          <w:b/>
          <w:bCs/>
        </w:rPr>
        <w:t>Kesimpulan dan Saran</w:t>
      </w:r>
    </w:p>
    <w:p w14:paraId="4DB1B9AC" w14:textId="77777777" w:rsidR="008740C7" w:rsidRDefault="008740C7" w:rsidP="008740C7">
      <w:pPr>
        <w:pStyle w:val="BodyText"/>
        <w:numPr>
          <w:ilvl w:val="0"/>
          <w:numId w:val="1"/>
        </w:numPr>
        <w:spacing w:before="1" w:line="480" w:lineRule="auto"/>
        <w:ind w:right="-1"/>
        <w:jc w:val="both"/>
        <w:rPr>
          <w:b/>
          <w:bCs/>
        </w:rPr>
      </w:pPr>
      <w:r>
        <w:rPr>
          <w:b/>
          <w:bCs/>
        </w:rPr>
        <w:t xml:space="preserve">Kesimpulan </w:t>
      </w:r>
    </w:p>
    <w:p w14:paraId="362CDBEB" w14:textId="77777777" w:rsidR="008740C7" w:rsidRDefault="008740C7" w:rsidP="008740C7">
      <w:pPr>
        <w:pStyle w:val="BodyText"/>
        <w:spacing w:before="1" w:line="480" w:lineRule="auto"/>
        <w:ind w:left="1146" w:right="-1" w:firstLine="294"/>
        <w:jc w:val="both"/>
      </w:pPr>
      <w:r>
        <w:t xml:space="preserve">Penelitian ini bertujuan untuk mengetahui pengaruh </w:t>
      </w:r>
      <w:r w:rsidRPr="002B4438">
        <w:rPr>
          <w:i/>
          <w:iCs/>
        </w:rPr>
        <w:t>Green Banking</w:t>
      </w:r>
      <w:r>
        <w:t xml:space="preserve">  dan </w:t>
      </w:r>
      <w:r w:rsidRPr="00B73B3B">
        <w:t>Rasio kecukupan modal</w:t>
      </w:r>
      <w:r>
        <w:t xml:space="preserve"> terhadap Profitabilitas Perusahaan pada Bank Umum Syariah di Indonesia. Penelitian ini dilakukan pada 10 Bank Umum Syariah di Indonesia yang terdaftar di OJK. Data observasi dalam penelitian ini sebanyak 30 dengan periode waktu 3 tahun (2021-2023) dan menggunakan teknik </w:t>
      </w:r>
      <w:r w:rsidRPr="00C02976">
        <w:rPr>
          <w:i/>
          <w:iCs/>
        </w:rPr>
        <w:t>purposive sampling</w:t>
      </w:r>
      <w:r>
        <w:t xml:space="preserve">. Data berasal dari laporan keberlanjutan dan laporan tahunan masing-masing Bank Umum Syariah yang diolah dengan menggunakan uji asumsi klasik dan analisis regresi data panel melalui software Eviews versi 12.0 dan </w:t>
      </w:r>
      <w:r w:rsidRPr="00C02976">
        <w:rPr>
          <w:i/>
          <w:iCs/>
        </w:rPr>
        <w:t>Microsoft Excel.</w:t>
      </w:r>
    </w:p>
    <w:p w14:paraId="71FD9771" w14:textId="77777777" w:rsidR="008740C7" w:rsidRDefault="008740C7" w:rsidP="008740C7">
      <w:pPr>
        <w:pStyle w:val="BodyText"/>
        <w:spacing w:before="1" w:line="480" w:lineRule="auto"/>
        <w:ind w:left="1146" w:right="-1" w:firstLine="294"/>
        <w:jc w:val="both"/>
      </w:pPr>
      <w:r>
        <w:t xml:space="preserve"> Berdasarkan hasil pengujian dan pembahasan yang telah dilakukan, maka dapat ditarik kesimpulan sebagai berikut:</w:t>
      </w:r>
    </w:p>
    <w:p w14:paraId="28A7B86C" w14:textId="77777777" w:rsidR="008740C7" w:rsidRPr="002B4438" w:rsidRDefault="008740C7" w:rsidP="008740C7">
      <w:pPr>
        <w:pStyle w:val="BodyText"/>
        <w:numPr>
          <w:ilvl w:val="0"/>
          <w:numId w:val="2"/>
        </w:numPr>
        <w:spacing w:before="1" w:line="480" w:lineRule="auto"/>
        <w:ind w:left="1560" w:right="-1" w:hanging="426"/>
        <w:jc w:val="both"/>
        <w:rPr>
          <w:b/>
          <w:bCs/>
        </w:rPr>
      </w:pPr>
      <w:r w:rsidRPr="002B1F30">
        <w:rPr>
          <w:i/>
          <w:iCs/>
        </w:rPr>
        <w:t>Green banking</w:t>
      </w:r>
      <w:r>
        <w:t xml:space="preserve"> secara parsial berpengaruh negatif tidak signifikan terhadap profitabilitas perusahaan Bank Umum Syariah di Indonesia yang diukur dengan </w:t>
      </w:r>
      <w:r w:rsidRPr="002B4438">
        <w:rPr>
          <w:i/>
          <w:iCs/>
        </w:rPr>
        <w:t>return on asset</w:t>
      </w:r>
      <w:r>
        <w:t xml:space="preserve"> (ROA). </w:t>
      </w:r>
    </w:p>
    <w:p w14:paraId="455AD024" w14:textId="77777777" w:rsidR="008740C7" w:rsidRPr="002B4438" w:rsidRDefault="008740C7" w:rsidP="008740C7">
      <w:pPr>
        <w:pStyle w:val="BodyText"/>
        <w:numPr>
          <w:ilvl w:val="0"/>
          <w:numId w:val="2"/>
        </w:numPr>
        <w:spacing w:before="1" w:line="480" w:lineRule="auto"/>
        <w:ind w:left="1560" w:right="-1" w:hanging="426"/>
        <w:jc w:val="both"/>
        <w:rPr>
          <w:b/>
          <w:bCs/>
        </w:rPr>
      </w:pPr>
      <w:r w:rsidRPr="00B73B3B">
        <w:t>Rasio kecukupan modal</w:t>
      </w:r>
      <w:r>
        <w:t xml:space="preserve"> yang diukur dengan CAR secara parsial berpengaruh negatif tidak signifikan terhadap nilai perusahaan Bank Umum Syariah di Indonesia yang diukur dengan </w:t>
      </w:r>
      <w:r w:rsidRPr="002B4438">
        <w:rPr>
          <w:i/>
          <w:iCs/>
        </w:rPr>
        <w:t>return on asset</w:t>
      </w:r>
      <w:r>
        <w:t xml:space="preserve"> (ROA). </w:t>
      </w:r>
    </w:p>
    <w:p w14:paraId="47EFC4CD" w14:textId="77777777" w:rsidR="008740C7" w:rsidRPr="002B4438" w:rsidRDefault="008740C7" w:rsidP="008740C7">
      <w:pPr>
        <w:pStyle w:val="BodyText"/>
        <w:numPr>
          <w:ilvl w:val="0"/>
          <w:numId w:val="2"/>
        </w:numPr>
        <w:spacing w:before="1" w:line="480" w:lineRule="auto"/>
        <w:ind w:left="1560" w:right="-1" w:hanging="426"/>
        <w:jc w:val="both"/>
        <w:rPr>
          <w:b/>
          <w:bCs/>
        </w:rPr>
      </w:pPr>
      <w:r>
        <w:t xml:space="preserve">Secara simultan, </w:t>
      </w:r>
      <w:r w:rsidRPr="002B1F30">
        <w:rPr>
          <w:i/>
          <w:iCs/>
        </w:rPr>
        <w:t>Green</w:t>
      </w:r>
      <w:r>
        <w:rPr>
          <w:i/>
          <w:iCs/>
        </w:rPr>
        <w:t xml:space="preserve"> </w:t>
      </w:r>
      <w:r w:rsidRPr="002B1F30">
        <w:rPr>
          <w:i/>
          <w:iCs/>
        </w:rPr>
        <w:t>banking</w:t>
      </w:r>
      <w:r>
        <w:t xml:space="preserve"> dan </w:t>
      </w:r>
      <w:r w:rsidRPr="00B73B3B">
        <w:t>Rasio kecukupan modal</w:t>
      </w:r>
      <w:r>
        <w:t xml:space="preserve"> (CAR) berpengaruh negatif tidak signifikan terhadap Profitabilitas </w:t>
      </w:r>
      <w:r>
        <w:lastRenderedPageBreak/>
        <w:t>perusahaan Bank Umum Syariah di Indonesia yang diukur dengan return On Aset (ROA)</w:t>
      </w:r>
    </w:p>
    <w:p w14:paraId="545DD080" w14:textId="77777777" w:rsidR="008740C7" w:rsidRDefault="008740C7" w:rsidP="008740C7">
      <w:pPr>
        <w:pStyle w:val="BodyText"/>
        <w:numPr>
          <w:ilvl w:val="0"/>
          <w:numId w:val="1"/>
        </w:numPr>
        <w:spacing w:before="1" w:line="480" w:lineRule="auto"/>
        <w:ind w:right="-1"/>
        <w:jc w:val="both"/>
        <w:rPr>
          <w:b/>
          <w:bCs/>
        </w:rPr>
      </w:pPr>
      <w:r>
        <w:rPr>
          <w:b/>
          <w:bCs/>
        </w:rPr>
        <w:t>SARAN</w:t>
      </w:r>
    </w:p>
    <w:p w14:paraId="2E14AB26" w14:textId="77777777" w:rsidR="008740C7" w:rsidRDefault="008740C7" w:rsidP="008740C7">
      <w:pPr>
        <w:pStyle w:val="BodyText"/>
        <w:spacing w:before="1" w:line="480" w:lineRule="auto"/>
        <w:ind w:left="1146" w:right="-1" w:firstLine="294"/>
        <w:jc w:val="both"/>
      </w:pPr>
      <w:r>
        <w:t>Berdasarkan hasil dan pembahasan yang telah dijelaskan, serta kesimpulan yang telah dihasilkan, terdapat beberapa saran yang penulis</w:t>
      </w:r>
      <w:r w:rsidRPr="005F19E9">
        <w:t xml:space="preserve"> </w:t>
      </w:r>
      <w:r>
        <w:t xml:space="preserve">harapkan dapat menjadi peluang untuk lebih baik lagi ke depannya yaitu sebagai berikut: </w:t>
      </w:r>
    </w:p>
    <w:p w14:paraId="69F692D0" w14:textId="77777777" w:rsidR="008740C7" w:rsidRDefault="008740C7" w:rsidP="008740C7">
      <w:pPr>
        <w:pStyle w:val="BodyText"/>
        <w:numPr>
          <w:ilvl w:val="1"/>
          <w:numId w:val="3"/>
        </w:numPr>
        <w:spacing w:before="1" w:line="480" w:lineRule="auto"/>
        <w:ind w:left="1418" w:right="-1" w:hanging="284"/>
        <w:jc w:val="both"/>
      </w:pPr>
      <w:r>
        <w:t xml:space="preserve">Bagi Perbankan Syariah untuk lebih mengoptimalkan praktik </w:t>
      </w:r>
      <w:r w:rsidRPr="005F19E9">
        <w:rPr>
          <w:i/>
          <w:iCs/>
        </w:rPr>
        <w:t>green banking</w:t>
      </w:r>
      <w:r>
        <w:t xml:space="preserve"> lebih baik lagi dengan menginformasikan secara lebih jelas dan detail dalam laporan. Selain itu, bank harus terus mempertahankan dan bahkan meningkatkan rasio kecukupan modal mereka dengan cara pengelolaan risiko yang baik, peningkatan efisiensi operasional dan diversifikasi sumber modal. Bank juga harus memeriksa kembali prospek kegiatan yang dijalankan perusahaan agar lebih produktif. Sehingga para pemegang saham akan menikmati keuntungan yang lebih besar dari biaya modalnya. </w:t>
      </w:r>
    </w:p>
    <w:p w14:paraId="336B36BD" w14:textId="77777777" w:rsidR="008740C7" w:rsidRDefault="008740C7" w:rsidP="008740C7">
      <w:pPr>
        <w:pStyle w:val="BodyText"/>
        <w:numPr>
          <w:ilvl w:val="1"/>
          <w:numId w:val="3"/>
        </w:numPr>
        <w:spacing w:before="1" w:line="480" w:lineRule="auto"/>
        <w:ind w:left="1418" w:right="-1" w:hanging="284"/>
        <w:jc w:val="both"/>
      </w:pPr>
      <w:r>
        <w:t xml:space="preserve"> Bagi Stakeholder disarankan untuk lebih memperluas wawasan dan informasi mengenai penerapan </w:t>
      </w:r>
      <w:r w:rsidRPr="005F19E9">
        <w:rPr>
          <w:i/>
          <w:iCs/>
        </w:rPr>
        <w:t>green banking</w:t>
      </w:r>
      <w:r>
        <w:t xml:space="preserve"> dan kinerja bank agar dapat mengambil keputusan yang tepat dalam berinvestasi dan menilai perusahaan.</w:t>
      </w:r>
    </w:p>
    <w:p w14:paraId="331FD032" w14:textId="77777777" w:rsidR="008740C7" w:rsidRPr="005F19E9" w:rsidRDefault="008740C7" w:rsidP="008740C7">
      <w:pPr>
        <w:pStyle w:val="BodyText"/>
        <w:numPr>
          <w:ilvl w:val="1"/>
          <w:numId w:val="3"/>
        </w:numPr>
        <w:spacing w:before="1" w:line="480" w:lineRule="auto"/>
        <w:ind w:left="1418" w:right="-1" w:hanging="284"/>
        <w:jc w:val="both"/>
      </w:pPr>
      <w:r>
        <w:t xml:space="preserve"> Bagi Peneliti Selanjutnya diharapkan agar dapat memperbanyak objek penelitian seperti UUS dan BPRS, maupun lembaga keuangan syariah lainnya. Selain itu, peneliti selanjutnya juga dapat mempertimbangkan lagi mengenai kriteria pengukuran </w:t>
      </w:r>
      <w:r w:rsidRPr="001133AC">
        <w:rPr>
          <w:i/>
          <w:iCs/>
        </w:rPr>
        <w:t xml:space="preserve">green </w:t>
      </w:r>
      <w:r w:rsidRPr="001133AC">
        <w:rPr>
          <w:i/>
          <w:iCs/>
        </w:rPr>
        <w:lastRenderedPageBreak/>
        <w:t xml:space="preserve">banking </w:t>
      </w:r>
      <w:r>
        <w:t>sesuai pedoman teknis POJK No. 51/POJK.03/2017 dengan menggunakan sampel dan jumlah periode terbaru</w:t>
      </w:r>
    </w:p>
    <w:p w14:paraId="6682D857" w14:textId="77777777" w:rsidR="008740C7" w:rsidRPr="00A34A67" w:rsidRDefault="008740C7" w:rsidP="008740C7">
      <w:pPr>
        <w:pStyle w:val="BodyText"/>
        <w:spacing w:line="480" w:lineRule="auto"/>
        <w:ind w:right="-1"/>
        <w:jc w:val="both"/>
      </w:pPr>
    </w:p>
    <w:p w14:paraId="44B27B10" w14:textId="77777777" w:rsidR="008740C7" w:rsidRDefault="008740C7" w:rsidP="008740C7">
      <w:pPr>
        <w:rPr>
          <w:rFonts w:ascii="Times New Roman" w:hAnsi="Times New Roman" w:cs="Times New Roman"/>
          <w:b/>
          <w:sz w:val="24"/>
          <w:szCs w:val="24"/>
        </w:rPr>
        <w:sectPr w:rsidR="008740C7" w:rsidSect="00E8449C">
          <w:pgSz w:w="11907" w:h="16839" w:code="9"/>
          <w:pgMar w:top="1701" w:right="1701" w:bottom="1701" w:left="2268" w:header="720" w:footer="720" w:gutter="0"/>
          <w:cols w:space="720"/>
          <w:titlePg/>
          <w:docGrid w:linePitch="360"/>
        </w:sectPr>
      </w:pPr>
    </w:p>
    <w:p w14:paraId="0E27FF84" w14:textId="77777777" w:rsidR="008740C7" w:rsidRDefault="008740C7" w:rsidP="008740C7">
      <w:pPr>
        <w:widowControl w:val="0"/>
        <w:autoSpaceDE w:val="0"/>
        <w:autoSpaceDN w:val="0"/>
        <w:adjustRightInd w:val="0"/>
        <w:spacing w:after="0" w:line="360" w:lineRule="auto"/>
        <w:ind w:left="480" w:hanging="480"/>
        <w:jc w:val="center"/>
        <w:rPr>
          <w:rFonts w:ascii="Times New Roman" w:hAnsi="Times New Roman" w:cs="Times New Roman"/>
          <w:b/>
          <w:sz w:val="24"/>
          <w:szCs w:val="24"/>
        </w:rPr>
      </w:pPr>
      <w:r>
        <w:rPr>
          <w:rFonts w:ascii="Times New Roman" w:hAnsi="Times New Roman" w:cs="Times New Roman"/>
          <w:b/>
          <w:sz w:val="24"/>
          <w:szCs w:val="24"/>
        </w:rPr>
        <w:lastRenderedPageBreak/>
        <w:t>DAFTAR PUSTAKA</w:t>
      </w:r>
    </w:p>
    <w:p w14:paraId="2F82113E"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9857AD">
        <w:rPr>
          <w:rFonts w:ascii="Times New Roman" w:hAnsi="Times New Roman" w:cs="Times New Roman"/>
          <w:b/>
          <w:sz w:val="24"/>
          <w:szCs w:val="24"/>
        </w:rPr>
        <w:fldChar w:fldCharType="begin" w:fldLock="1"/>
      </w:r>
      <w:r w:rsidRPr="009857AD">
        <w:rPr>
          <w:rFonts w:ascii="Times New Roman" w:hAnsi="Times New Roman" w:cs="Times New Roman"/>
          <w:b/>
          <w:sz w:val="24"/>
          <w:szCs w:val="24"/>
        </w:rPr>
        <w:instrText xml:space="preserve">ADDIN Mendeley Bibliography CSL_BIBLIOGRAPHY </w:instrText>
      </w:r>
      <w:r w:rsidRPr="009857AD">
        <w:rPr>
          <w:rFonts w:ascii="Times New Roman" w:hAnsi="Times New Roman" w:cs="Times New Roman"/>
          <w:b/>
          <w:sz w:val="24"/>
          <w:szCs w:val="24"/>
        </w:rPr>
        <w:fldChar w:fldCharType="separate"/>
      </w:r>
      <w:r w:rsidRPr="00203A38">
        <w:rPr>
          <w:rFonts w:ascii="Times New Roman" w:hAnsi="Times New Roman" w:cs="Times New Roman"/>
          <w:noProof/>
          <w:sz w:val="24"/>
          <w:szCs w:val="24"/>
        </w:rPr>
        <w:t xml:space="preserve">Agusta, Rally Ferry, and Shinta Wahyu Hati. “Calculation of Liquidity, Solvency and Profitability Ratio in Manufacturing Company.” </w:t>
      </w:r>
      <w:r w:rsidRPr="00203A38">
        <w:rPr>
          <w:rFonts w:ascii="Times New Roman" w:hAnsi="Times New Roman" w:cs="Times New Roman"/>
          <w:i/>
          <w:iCs/>
          <w:noProof/>
          <w:sz w:val="24"/>
          <w:szCs w:val="24"/>
        </w:rPr>
        <w:t>Journal of Applied Accounting and Taxation</w:t>
      </w:r>
      <w:r w:rsidRPr="00203A38">
        <w:rPr>
          <w:rFonts w:ascii="Times New Roman" w:hAnsi="Times New Roman" w:cs="Times New Roman"/>
          <w:noProof/>
          <w:sz w:val="24"/>
          <w:szCs w:val="24"/>
        </w:rPr>
        <w:t xml:space="preserve"> 3, no. 2 (2018) https://doi.org/10.30871/jaat.v3i2.765.</w:t>
      </w:r>
    </w:p>
    <w:p w14:paraId="2BDC4A65"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Andini, Pramitha Rifa. “Pengaruh Konten Pada Official Akun TikTok Ruangguru Terhadap Prestasi Belajar Followers.” </w:t>
      </w:r>
      <w:r w:rsidRPr="00203A38">
        <w:rPr>
          <w:rFonts w:ascii="Times New Roman" w:hAnsi="Times New Roman" w:cs="Times New Roman"/>
          <w:i/>
          <w:iCs/>
          <w:noProof/>
          <w:sz w:val="24"/>
          <w:szCs w:val="24"/>
        </w:rPr>
        <w:t>Janaloka : Jurnal Ilmu Komunikasi</w:t>
      </w:r>
      <w:r w:rsidRPr="00203A38">
        <w:rPr>
          <w:rFonts w:ascii="Times New Roman" w:hAnsi="Times New Roman" w:cs="Times New Roman"/>
          <w:noProof/>
          <w:sz w:val="24"/>
          <w:szCs w:val="24"/>
        </w:rPr>
        <w:t xml:space="preserve"> 1, no. 1 Juni (2023): 15. https://doi.org/10.26623/janaloka.v1i1juni.7022.</w:t>
      </w:r>
    </w:p>
    <w:p w14:paraId="3D1EDA7C"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Anggraini, Sindi, and Fasa Muhammad Iqbal. “Analisis Pengaruh Green Banking Terhadap Profitabilitas Bank Umum Syariah Indonesia.” </w:t>
      </w:r>
      <w:r w:rsidRPr="00203A38">
        <w:rPr>
          <w:rFonts w:ascii="Times New Roman" w:hAnsi="Times New Roman" w:cs="Times New Roman"/>
          <w:i/>
          <w:iCs/>
          <w:noProof/>
          <w:sz w:val="24"/>
          <w:szCs w:val="24"/>
        </w:rPr>
        <w:t>Journal of Business Management and Islamic Banking</w:t>
      </w:r>
      <w:r w:rsidRPr="00203A38">
        <w:rPr>
          <w:rFonts w:ascii="Times New Roman" w:hAnsi="Times New Roman" w:cs="Times New Roman"/>
          <w:noProof/>
          <w:sz w:val="24"/>
          <w:szCs w:val="24"/>
        </w:rPr>
        <w:t xml:space="preserve"> 1, no. 1 (2022) https://doi.org/10.14421/jbmib.2022.</w:t>
      </w:r>
    </w:p>
    <w:p w14:paraId="63B0A00F"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Bank Indonesia. “Kewajiban Penyediaan Modal Minimum (KPMM)” 5, no. 2 (2013)</w:t>
      </w:r>
    </w:p>
    <w:p w14:paraId="09F95790"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Bisnis, Manajemen, Nurul Nabilla Khrisnawati, and Yunida Anggun Saputri. “Journal Manajemen Dan Bisnis,” 2022</w:t>
      </w:r>
    </w:p>
    <w:p w14:paraId="3DA0E94F"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Bose, Sudipta, Habib Zaman Khan, Afzalur Rashid, and Shajul Islam. “ACCEPTED MANUSCRIPT ASIA PACIFIC JOURNAL OF MANAGEMENT ( ABDC RANK : A ) Please Cite : Bose , S ., Khan , H . Z ., Rashid , A ., &amp; Islam , S . ( 2017 ). What Drives Green Banking Disclosure ? An Institutional and Corporate Governance Perspective . Asia Pa,” 2017.</w:t>
      </w:r>
    </w:p>
    <w:p w14:paraId="612345CD"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Cahyani, Pingki Rizki, and Hendryadi Hendryadi. “Hubungan Dukungan Organisasi, Kepuasan Kerja, Dan Organizational Citizenship Behavior: Pendekatan Partial Least Square.” </w:t>
      </w:r>
      <w:r w:rsidRPr="00203A38">
        <w:rPr>
          <w:rFonts w:ascii="Times New Roman" w:hAnsi="Times New Roman" w:cs="Times New Roman"/>
          <w:i/>
          <w:iCs/>
          <w:noProof/>
          <w:sz w:val="24"/>
          <w:szCs w:val="24"/>
        </w:rPr>
        <w:t>Jurnal Manajemen Strategi Dan Aplikasi Bisnis</w:t>
      </w:r>
      <w:r w:rsidRPr="00203A38">
        <w:rPr>
          <w:rFonts w:ascii="Times New Roman" w:hAnsi="Times New Roman" w:cs="Times New Roman"/>
          <w:noProof/>
          <w:sz w:val="24"/>
          <w:szCs w:val="24"/>
        </w:rPr>
        <w:t xml:space="preserve"> 1, no. 1 (2018). https://doi.org/10.36407/jmsab.v1i1.19.</w:t>
      </w:r>
    </w:p>
    <w:p w14:paraId="2139BBF7"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Diah, Dwi Nita Aryani, and Irawan Budi Prasetyo. “Analisis Implementasi Green Banking Dan Kinerja Keuangan Terhadap Profitabilitas.” </w:t>
      </w:r>
      <w:r w:rsidRPr="00203A38">
        <w:rPr>
          <w:rFonts w:ascii="Times New Roman" w:hAnsi="Times New Roman" w:cs="Times New Roman"/>
          <w:i/>
          <w:iCs/>
          <w:noProof/>
          <w:sz w:val="24"/>
          <w:szCs w:val="24"/>
        </w:rPr>
        <w:t>Jurnal Bisnis, Manajemen an Infromatika</w:t>
      </w:r>
      <w:r w:rsidRPr="00203A38">
        <w:rPr>
          <w:rFonts w:ascii="Times New Roman" w:hAnsi="Times New Roman" w:cs="Times New Roman"/>
          <w:noProof/>
          <w:sz w:val="24"/>
          <w:szCs w:val="24"/>
        </w:rPr>
        <w:t xml:space="preserve"> 1, no. 2 (2019)</w:t>
      </w:r>
    </w:p>
    <w:p w14:paraId="3EECBB30"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Effect, Fixed, Model Pada, and Regresi Data. “β Eta” 3, no. 2 (2010).</w:t>
      </w:r>
    </w:p>
    <w:p w14:paraId="1AD5ECB8"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Fajriah, Salsabila Dwiayu, Ririn Riani, and Miftakhus Surur. “Does the Implementation of Green Banking the Profitability of Islamic Banks In?” </w:t>
      </w:r>
      <w:r w:rsidRPr="00203A38">
        <w:rPr>
          <w:rFonts w:ascii="Times New Roman" w:hAnsi="Times New Roman" w:cs="Times New Roman"/>
          <w:i/>
          <w:iCs/>
          <w:noProof/>
          <w:sz w:val="24"/>
          <w:szCs w:val="24"/>
        </w:rPr>
        <w:t>FICCOMSS: Proceedings of FEMFEST International Conference on Economics, Management, and Business</w:t>
      </w:r>
      <w:r w:rsidRPr="00203A38">
        <w:rPr>
          <w:rFonts w:ascii="Times New Roman" w:hAnsi="Times New Roman" w:cs="Times New Roman"/>
          <w:noProof/>
          <w:sz w:val="24"/>
          <w:szCs w:val="24"/>
        </w:rPr>
        <w:t xml:space="preserve"> 1 (2023)</w:t>
      </w:r>
    </w:p>
    <w:p w14:paraId="1BE6FEE0"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Garham, Ivani, and Dhani Ichsanuddin Nur. “Analisis Profitabilitas Pada Bank Umum Syariah Di Indonesia.” </w:t>
      </w:r>
      <w:r w:rsidRPr="00203A38">
        <w:rPr>
          <w:rFonts w:ascii="Times New Roman" w:hAnsi="Times New Roman" w:cs="Times New Roman"/>
          <w:i/>
          <w:iCs/>
          <w:noProof/>
          <w:sz w:val="24"/>
          <w:szCs w:val="24"/>
        </w:rPr>
        <w:t>I-Finance: A Research Journal on Islamic Finance</w:t>
      </w:r>
      <w:r w:rsidRPr="00203A38">
        <w:rPr>
          <w:rFonts w:ascii="Times New Roman" w:hAnsi="Times New Roman" w:cs="Times New Roman"/>
          <w:noProof/>
          <w:sz w:val="24"/>
          <w:szCs w:val="24"/>
        </w:rPr>
        <w:t xml:space="preserve"> 8, no. 2 (2023)https://doi.org/10.19109/ifinance.v8i2.13641.</w:t>
      </w:r>
    </w:p>
    <w:p w14:paraId="07CC9B6A"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Hananto, Bernad, and Sutrisna Amijaya. “Pengaruh Ukuran Perusahaan, Ratio Kecukupan Modal, Dana Syirkah Temporer, Dan BOPO Terhadap Profitabilitas Bank Syariah Di Indonesia.” </w:t>
      </w:r>
      <w:r w:rsidRPr="00203A38">
        <w:rPr>
          <w:rFonts w:ascii="Times New Roman" w:hAnsi="Times New Roman" w:cs="Times New Roman"/>
          <w:i/>
          <w:iCs/>
          <w:noProof/>
          <w:sz w:val="24"/>
          <w:szCs w:val="24"/>
        </w:rPr>
        <w:t>Jurnal Ekonomi Syariah Pelita Bangsa</w:t>
      </w:r>
      <w:r w:rsidRPr="00203A38">
        <w:rPr>
          <w:rFonts w:ascii="Times New Roman" w:hAnsi="Times New Roman" w:cs="Times New Roman"/>
          <w:noProof/>
          <w:sz w:val="24"/>
          <w:szCs w:val="24"/>
        </w:rPr>
        <w:t xml:space="preserve"> 6, no. 02 (2021</w:t>
      </w:r>
      <w:r>
        <w:rPr>
          <w:rFonts w:ascii="Times New Roman" w:hAnsi="Times New Roman" w:cs="Times New Roman"/>
          <w:noProof/>
          <w:sz w:val="24"/>
          <w:szCs w:val="24"/>
        </w:rPr>
        <w:t>)</w:t>
      </w:r>
      <w:r w:rsidRPr="00203A38">
        <w:rPr>
          <w:rFonts w:ascii="Times New Roman" w:hAnsi="Times New Roman" w:cs="Times New Roman"/>
          <w:noProof/>
          <w:sz w:val="24"/>
          <w:szCs w:val="24"/>
        </w:rPr>
        <w:t xml:space="preserve"> https://doi.org/10.37366/jespb.v6i02.243.</w:t>
      </w:r>
    </w:p>
    <w:p w14:paraId="4F72E249"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Hanif, Nur Wahyu Ningsih, and Fatullah Iqbal. “Green Banking Terhadap Profitabilitas Bank Umum Syariah Di Indonesia.” </w:t>
      </w:r>
      <w:r w:rsidRPr="00203A38">
        <w:rPr>
          <w:rFonts w:ascii="Times New Roman" w:hAnsi="Times New Roman" w:cs="Times New Roman"/>
          <w:i/>
          <w:iCs/>
          <w:noProof/>
          <w:sz w:val="24"/>
          <w:szCs w:val="24"/>
        </w:rPr>
        <w:t>Jurnal Ilmiah Keuangan Dan Perbankan</w:t>
      </w:r>
      <w:r w:rsidRPr="00203A38">
        <w:rPr>
          <w:rFonts w:ascii="Times New Roman" w:hAnsi="Times New Roman" w:cs="Times New Roman"/>
          <w:noProof/>
          <w:sz w:val="24"/>
          <w:szCs w:val="24"/>
        </w:rPr>
        <w:t xml:space="preserve"> 3, no. 2 (2020)</w:t>
      </w:r>
    </w:p>
    <w:p w14:paraId="055FEDE1"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lastRenderedPageBreak/>
        <w:t xml:space="preserve">Hasibuan, Henny Triyana. “Analisis Pengaruh Faktor-Faktor Rasio Keuangan Terhadap Profitabilitas.” </w:t>
      </w:r>
      <w:r w:rsidRPr="00203A38">
        <w:rPr>
          <w:rFonts w:ascii="Times New Roman" w:hAnsi="Times New Roman" w:cs="Times New Roman"/>
          <w:i/>
          <w:iCs/>
          <w:noProof/>
          <w:sz w:val="24"/>
          <w:szCs w:val="24"/>
        </w:rPr>
        <w:t>E-Jurnal Akuntansi Universitas Udayana</w:t>
      </w:r>
      <w:r w:rsidRPr="00203A38">
        <w:rPr>
          <w:rFonts w:ascii="Times New Roman" w:hAnsi="Times New Roman" w:cs="Times New Roman"/>
          <w:noProof/>
          <w:sz w:val="24"/>
          <w:szCs w:val="24"/>
        </w:rPr>
        <w:t xml:space="preserve"> 34, no. 2 (2024) https://doi.org/10.24843/EJA.2024.v34.i02.p07.</w:t>
      </w:r>
    </w:p>
    <w:p w14:paraId="4C357EAB"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Internasional, Jurnal, Manajemen Asia, B E I Periode, Chen Tia, Sri Hasnawati, Ahmad Faisol, and Ahmad Faisol. “( Studi Pada Sektor Perbankan Yang Terdaftar Di Bursa Efek Indonesia” 2, no. 6 (2023)</w:t>
      </w:r>
    </w:p>
    <w:p w14:paraId="3B494D39"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Khodijah, Siti, Muhammad Iqbal Fasa, and Suharto Suharto. “Penerapan Green Banking Di Lingkungan Bank BJB Syariah Indonesia.” </w:t>
      </w:r>
      <w:r w:rsidRPr="00203A38">
        <w:rPr>
          <w:rFonts w:ascii="Times New Roman" w:hAnsi="Times New Roman" w:cs="Times New Roman"/>
          <w:i/>
          <w:iCs/>
          <w:noProof/>
          <w:sz w:val="24"/>
          <w:szCs w:val="24"/>
        </w:rPr>
        <w:t>Jihbiz : Jurnal Ekonomi, Keuangan Dan Perbankan Syariah</w:t>
      </w:r>
      <w:r w:rsidRPr="00203A38">
        <w:rPr>
          <w:rFonts w:ascii="Times New Roman" w:hAnsi="Times New Roman" w:cs="Times New Roman"/>
          <w:noProof/>
          <w:sz w:val="24"/>
          <w:szCs w:val="24"/>
        </w:rPr>
        <w:t xml:space="preserve"> 7, no. 2 (2023) https://doi.org/10.33379/jihbiz.v7i2.2527.</w:t>
      </w:r>
    </w:p>
    <w:p w14:paraId="06245B27"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Mainata, Dedy, and Addien Fahma Ardiani. “Pengaruh Capital Adequacy Ratio (CAR) Terhadap Return On Aset (ROA) Pada Bank Syariah.” </w:t>
      </w:r>
      <w:r w:rsidRPr="00203A38">
        <w:rPr>
          <w:rFonts w:ascii="Times New Roman" w:hAnsi="Times New Roman" w:cs="Times New Roman"/>
          <w:i/>
          <w:iCs/>
          <w:noProof/>
          <w:sz w:val="24"/>
          <w:szCs w:val="24"/>
        </w:rPr>
        <w:t>Al-Tijary</w:t>
      </w:r>
      <w:r w:rsidRPr="00203A38">
        <w:rPr>
          <w:rFonts w:ascii="Times New Roman" w:hAnsi="Times New Roman" w:cs="Times New Roman"/>
          <w:noProof/>
          <w:sz w:val="24"/>
          <w:szCs w:val="24"/>
        </w:rPr>
        <w:t xml:space="preserve"> 3, no. 1 (2018): 19. https://doi.org/10.21093/at.v3i1.960.</w:t>
      </w:r>
    </w:p>
    <w:p w14:paraId="3BC999AC"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Aghnina Auliani Hastuti. </w:t>
      </w:r>
      <w:r w:rsidRPr="00203A38">
        <w:rPr>
          <w:rFonts w:ascii="Times New Roman" w:hAnsi="Times New Roman" w:cs="Times New Roman"/>
          <w:i/>
          <w:iCs/>
          <w:noProof/>
          <w:sz w:val="24"/>
          <w:szCs w:val="24"/>
        </w:rPr>
        <w:t>Pengaruh Penerapan Green Banking , Ukuran Perusahaan , Dan Kinerja Keuangan Perbankan Terhadap Profitabilitas Pada Bank Umum Syariah Periode 2020-2022 Skripsi 1445 H / 2024 M</w:t>
      </w:r>
      <w:r w:rsidRPr="00203A38">
        <w:rPr>
          <w:rFonts w:ascii="Times New Roman" w:hAnsi="Times New Roman" w:cs="Times New Roman"/>
          <w:noProof/>
          <w:sz w:val="24"/>
          <w:szCs w:val="24"/>
        </w:rPr>
        <w:t>, 2024.</w:t>
      </w:r>
    </w:p>
    <w:p w14:paraId="40191F4B"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Mir, Ajaz Akbar, and Aijaz Ahmad Bhat. “Green Banking and Sustainability – a Review.” </w:t>
      </w:r>
      <w:r w:rsidRPr="00203A38">
        <w:rPr>
          <w:rFonts w:ascii="Times New Roman" w:hAnsi="Times New Roman" w:cs="Times New Roman"/>
          <w:i/>
          <w:iCs/>
          <w:noProof/>
          <w:sz w:val="24"/>
          <w:szCs w:val="24"/>
        </w:rPr>
        <w:t>Arab Gulf Journal of Scientific Research</w:t>
      </w:r>
      <w:r w:rsidRPr="00203A38">
        <w:rPr>
          <w:rFonts w:ascii="Times New Roman" w:hAnsi="Times New Roman" w:cs="Times New Roman"/>
          <w:noProof/>
          <w:sz w:val="24"/>
          <w:szCs w:val="24"/>
        </w:rPr>
        <w:t xml:space="preserve"> 40, no. 3 (2022) https://doi.org/10.1108/AGJSR-04-2022-0017.</w:t>
      </w:r>
    </w:p>
    <w:p w14:paraId="1ED268D9"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Mustika, Salma Nabila, Kristianingsih Kristianingsih, Fifi Afiyanti Tripuspitorini, and Tjetjep Djuwarsa. “Analisis Pengaruh Penerapan Green Banking Dan Efisiensi Biaya Operasional Terhadap Profitabilitas Bank Umum Syariah Di Indonesia.” </w:t>
      </w:r>
      <w:r w:rsidRPr="00203A38">
        <w:rPr>
          <w:rFonts w:ascii="Times New Roman" w:hAnsi="Times New Roman" w:cs="Times New Roman"/>
          <w:i/>
          <w:iCs/>
          <w:noProof/>
          <w:sz w:val="24"/>
          <w:szCs w:val="24"/>
        </w:rPr>
        <w:t>Journal of Applied Islamic Economics and Finance</w:t>
      </w:r>
      <w:r w:rsidRPr="00203A38">
        <w:rPr>
          <w:rFonts w:ascii="Times New Roman" w:hAnsi="Times New Roman" w:cs="Times New Roman"/>
          <w:noProof/>
          <w:sz w:val="24"/>
          <w:szCs w:val="24"/>
        </w:rPr>
        <w:t xml:space="preserve"> 3, no. 2 (2023) https://doi.org/10.35313/jaief.v3i2.3861.</w:t>
      </w:r>
    </w:p>
    <w:p w14:paraId="090D1631"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Noordiatmoko, Didik. “ANALISIS RASIO PROFITABILITAS SEBAGAI ALAT UKUR UNTUK MENILAI KINERJA KEUANGAN PADA PT MAYORA” 5, no. 4 (2020)</w:t>
      </w:r>
    </w:p>
    <w:p w14:paraId="5619029B"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Nurmalia, Gustika. “Green Banking Dan Rasio Kecukupan Modal Mempengaruhi Pertumbuhan Laba Bank Umum Syariah Di Indonesia.” </w:t>
      </w:r>
      <w:r w:rsidRPr="00203A38">
        <w:rPr>
          <w:rFonts w:ascii="Times New Roman" w:hAnsi="Times New Roman" w:cs="Times New Roman"/>
          <w:i/>
          <w:iCs/>
          <w:noProof/>
          <w:sz w:val="24"/>
          <w:szCs w:val="24"/>
        </w:rPr>
        <w:t>Fidusia : Jurnal Keuangan Dan Perbankan</w:t>
      </w:r>
      <w:r w:rsidRPr="00203A38">
        <w:rPr>
          <w:rFonts w:ascii="Times New Roman" w:hAnsi="Times New Roman" w:cs="Times New Roman"/>
          <w:noProof/>
          <w:sz w:val="24"/>
          <w:szCs w:val="24"/>
        </w:rPr>
        <w:t xml:space="preserve"> 4, no. 2</w:t>
      </w:r>
      <w:r>
        <w:rPr>
          <w:rFonts w:ascii="Times New Roman" w:hAnsi="Times New Roman" w:cs="Times New Roman"/>
          <w:noProof/>
          <w:sz w:val="24"/>
          <w:szCs w:val="24"/>
        </w:rPr>
        <w:t xml:space="preserve"> </w:t>
      </w:r>
      <w:r w:rsidRPr="00203A38">
        <w:rPr>
          <w:rFonts w:ascii="Times New Roman" w:hAnsi="Times New Roman" w:cs="Times New Roman"/>
          <w:noProof/>
          <w:sz w:val="24"/>
          <w:szCs w:val="24"/>
        </w:rPr>
        <w:t>(2021)https://doi.org/10.24127/jf.v4i2.690.</w:t>
      </w:r>
    </w:p>
    <w:p w14:paraId="1885E5FA"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Nursabna, Shetty, Azharsyah Ibrahim, Perbankan Syariah, Fakultas Ekonomi dan Bisnis, and Penulis Korespondensi Shetty Nursabna. “SINTAMA: Jurnal Sistem Informasi, Akuntansi Dan Manajemen Analisis Praktik Green Banking Pada Bank Syariah Di Kota Banda Aceh (Studi Pada Bank Muamalat Indonesia Dan Bank Aceh Syariah).” </w:t>
      </w:r>
      <w:r w:rsidRPr="00203A38">
        <w:rPr>
          <w:rFonts w:ascii="Times New Roman" w:hAnsi="Times New Roman" w:cs="Times New Roman"/>
          <w:i/>
          <w:iCs/>
          <w:noProof/>
          <w:sz w:val="24"/>
          <w:szCs w:val="24"/>
        </w:rPr>
        <w:t>Akuntansi Dan Manajemen</w:t>
      </w:r>
      <w:r w:rsidRPr="00203A38">
        <w:rPr>
          <w:rFonts w:ascii="Times New Roman" w:hAnsi="Times New Roman" w:cs="Times New Roman"/>
          <w:noProof/>
          <w:sz w:val="24"/>
          <w:szCs w:val="24"/>
        </w:rPr>
        <w:t xml:space="preserve"> 3, no. 1 (2023).</w:t>
      </w:r>
    </w:p>
    <w:p w14:paraId="63D47059"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Nuryanto, Uli Wildan, Anis Fuad Salam, Ratih Purnama Sari, and Dede Suleman. “Pengaruh Rasio Kecukupan Modal, Likuiditas, Risiko Kredit Dan Efisiensi Biaya Terhadap Profitabilitas Pada Bank Go Public.” </w:t>
      </w:r>
      <w:r w:rsidRPr="00203A38">
        <w:rPr>
          <w:rFonts w:ascii="Times New Roman" w:hAnsi="Times New Roman" w:cs="Times New Roman"/>
          <w:i/>
          <w:iCs/>
          <w:noProof/>
          <w:sz w:val="24"/>
          <w:szCs w:val="24"/>
        </w:rPr>
        <w:t>Moneter - Jurnal Akuntansi Dan Keuangan</w:t>
      </w:r>
      <w:r w:rsidRPr="00203A38">
        <w:rPr>
          <w:rFonts w:ascii="Times New Roman" w:hAnsi="Times New Roman" w:cs="Times New Roman"/>
          <w:noProof/>
          <w:sz w:val="24"/>
          <w:szCs w:val="24"/>
        </w:rPr>
        <w:t xml:space="preserve"> 7, no. 1 (2020):</w:t>
      </w:r>
      <w:r>
        <w:rPr>
          <w:rFonts w:ascii="Times New Roman" w:hAnsi="Times New Roman" w:cs="Times New Roman"/>
          <w:noProof/>
          <w:sz w:val="24"/>
          <w:szCs w:val="24"/>
        </w:rPr>
        <w:t xml:space="preserve"> </w:t>
      </w:r>
      <w:r w:rsidRPr="00203A38">
        <w:rPr>
          <w:rFonts w:ascii="Times New Roman" w:hAnsi="Times New Roman" w:cs="Times New Roman"/>
          <w:noProof/>
          <w:sz w:val="24"/>
          <w:szCs w:val="24"/>
        </w:rPr>
        <w:t>https://doi.org/10.31294/moneter.v7i1.6777.</w:t>
      </w:r>
    </w:p>
    <w:p w14:paraId="67E6FFF0"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“PENGARUH GREEN BANKING DISCLOSURE TERHADAP NILAI PERUSAHAAN PADA BANK UMUM SYARIAH DI INDONESIA PERIODE 2016-2022 Disusun Oleh : NURUL ARTI RAMADHANI FAKULTAS EKONOMI DAN BISNIS ISLAM UNIVERSITAS ISLAM NEGERI AR-RANIRY BANDA ACEH 2023 M / 1445 H,” 2023.</w:t>
      </w:r>
    </w:p>
    <w:p w14:paraId="23F592D3"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lastRenderedPageBreak/>
        <w:t>Profitabilitas, Covid-, and Bank Syariah. “Dampak Penerapan Green Banking , Kinerja Keuangan ,” 6, no. 2 (2023)</w:t>
      </w:r>
    </w:p>
    <w:p w14:paraId="1F0E6D10"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Purnasari, Nina. “Pengaruh Profitabilitas , Likuiditas Dan Struktur Aktiva Terhadap Struktur Modal Pada Perusahaan Manufaktur Yang Terdaftar Di Bursa Efek Indonesia ( BEI ) Periode ” no. March (2022). https://doi.org/10.31539/costing.v4i1.1428.</w:t>
      </w:r>
    </w:p>
    <w:p w14:paraId="077AD270"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Puspitaningrum, Herni Yanuar, and Astiwi Indriani. “Pengaruh Tanggung Jawab Sosial Perusahaan Dan Good Corporate Governance Terhadap Profitabilitas Perusahaan Dengan Ukuran Perusahaan Dan Leverage Sebagai Variabel Kontrol.” </w:t>
      </w:r>
      <w:r w:rsidRPr="00203A38">
        <w:rPr>
          <w:rFonts w:ascii="Times New Roman" w:hAnsi="Times New Roman" w:cs="Times New Roman"/>
          <w:i/>
          <w:iCs/>
          <w:noProof/>
          <w:sz w:val="24"/>
          <w:szCs w:val="24"/>
        </w:rPr>
        <w:t>Diponegoro Journal of Management</w:t>
      </w:r>
      <w:r w:rsidRPr="00203A38">
        <w:rPr>
          <w:rFonts w:ascii="Times New Roman" w:hAnsi="Times New Roman" w:cs="Times New Roman"/>
          <w:noProof/>
          <w:sz w:val="24"/>
          <w:szCs w:val="24"/>
        </w:rPr>
        <w:t xml:space="preserve"> 10, no. 2337 (2021)</w:t>
      </w:r>
    </w:p>
    <w:p w14:paraId="0DE7BB14"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Ria, Desma, Muhammad Iqbal Fasa, Suharto Suharto, and Adib Fachri. “Penerapan Green Banking Di Lingkungan Bank Muamalat Indonesia.” </w:t>
      </w:r>
      <w:r w:rsidRPr="00203A38">
        <w:rPr>
          <w:rFonts w:ascii="Times New Roman" w:hAnsi="Times New Roman" w:cs="Times New Roman"/>
          <w:i/>
          <w:iCs/>
          <w:noProof/>
          <w:sz w:val="24"/>
          <w:szCs w:val="24"/>
        </w:rPr>
        <w:t>Jihbiz: Global Journal of Islamic Banking and Finance</w:t>
      </w:r>
      <w:r w:rsidRPr="00203A38">
        <w:rPr>
          <w:rFonts w:ascii="Times New Roman" w:hAnsi="Times New Roman" w:cs="Times New Roman"/>
          <w:noProof/>
          <w:sz w:val="24"/>
          <w:szCs w:val="24"/>
        </w:rPr>
        <w:t xml:space="preserve"> 5, no. 1 (2023): 1. https://doi.org/10.22373/jihbiz.v5i1.17195.</w:t>
      </w:r>
    </w:p>
    <w:p w14:paraId="0E009E13"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Rosdiani, Nenti, and Angga Hidayat. “Pengaruh Derivatif Keuangan, Konservatisme Akuntansi Dan Intensitas Aset Tetap Terhadap Penghindaran Pajak.” </w:t>
      </w:r>
      <w:r w:rsidRPr="00203A38">
        <w:rPr>
          <w:rFonts w:ascii="Times New Roman" w:hAnsi="Times New Roman" w:cs="Times New Roman"/>
          <w:i/>
          <w:iCs/>
          <w:noProof/>
          <w:sz w:val="24"/>
          <w:szCs w:val="24"/>
        </w:rPr>
        <w:t>Journal of Technopreneurship on Economics and Business Review</w:t>
      </w:r>
      <w:r w:rsidRPr="00203A38">
        <w:rPr>
          <w:rFonts w:ascii="Times New Roman" w:hAnsi="Times New Roman" w:cs="Times New Roman"/>
          <w:noProof/>
          <w:sz w:val="24"/>
          <w:szCs w:val="24"/>
        </w:rPr>
        <w:t xml:space="preserve"> 1, no. 2 (2020). https://doi.org/10.37195/jtebr.v1i2.43.</w:t>
      </w:r>
    </w:p>
    <w:p w14:paraId="48BCEE08"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Roy, Samrat, and Xavier Savarimuthu. “Green Banking.” </w:t>
      </w:r>
      <w:r w:rsidRPr="00203A38">
        <w:rPr>
          <w:rFonts w:ascii="Times New Roman" w:hAnsi="Times New Roman" w:cs="Times New Roman"/>
          <w:i/>
          <w:iCs/>
          <w:noProof/>
          <w:sz w:val="24"/>
          <w:szCs w:val="24"/>
        </w:rPr>
        <w:t>Go Green for Environmental Sustainability</w:t>
      </w:r>
      <w:r w:rsidRPr="00203A38">
        <w:rPr>
          <w:rFonts w:ascii="Times New Roman" w:hAnsi="Times New Roman" w:cs="Times New Roman"/>
          <w:noProof/>
          <w:sz w:val="24"/>
          <w:szCs w:val="24"/>
        </w:rPr>
        <w:t>, 2021, https://doi.org/10.1201/9781003055020-06.</w:t>
      </w:r>
    </w:p>
    <w:p w14:paraId="13048C6A"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Salsabila, Nur Afifah, Handy Kurniawan Juliarto, Al Fitri Syawal, and Darnah Andi Nohe. “Analisis Regresi Data Panel Pada Ketimpangan Pendapatan Daerah Di Provinsi Kalimantan Timur.” </w:t>
      </w:r>
      <w:r w:rsidRPr="00203A38">
        <w:rPr>
          <w:rFonts w:ascii="Times New Roman" w:hAnsi="Times New Roman" w:cs="Times New Roman"/>
          <w:i/>
          <w:iCs/>
          <w:noProof/>
          <w:sz w:val="24"/>
          <w:szCs w:val="24"/>
        </w:rPr>
        <w:t>Prosiding Seminar Nasional Matematika, Statistika, Dan Aplikasinya</w:t>
      </w:r>
      <w:r w:rsidRPr="00203A38">
        <w:rPr>
          <w:rFonts w:ascii="Times New Roman" w:hAnsi="Times New Roman" w:cs="Times New Roman"/>
          <w:noProof/>
          <w:sz w:val="24"/>
          <w:szCs w:val="24"/>
        </w:rPr>
        <w:t xml:space="preserve"> 2 (2022): </w:t>
      </w:r>
    </w:p>
    <w:p w14:paraId="308B7A60"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Senja Setyoko, Sara, and Rita Wijayanti. “Green Banking Dan Kinerja Bank: Mekanisme Corporate Governance.” </w:t>
      </w:r>
      <w:r w:rsidRPr="00203A38">
        <w:rPr>
          <w:rFonts w:ascii="Times New Roman" w:hAnsi="Times New Roman" w:cs="Times New Roman"/>
          <w:i/>
          <w:iCs/>
          <w:noProof/>
          <w:sz w:val="24"/>
          <w:szCs w:val="24"/>
        </w:rPr>
        <w:t>Jurnal Ekonomi Dan Bisnis</w:t>
      </w:r>
      <w:r w:rsidRPr="00203A38">
        <w:rPr>
          <w:rFonts w:ascii="Times New Roman" w:hAnsi="Times New Roman" w:cs="Times New Roman"/>
          <w:noProof/>
          <w:sz w:val="24"/>
          <w:szCs w:val="24"/>
        </w:rPr>
        <w:t xml:space="preserve"> 10, no. 1 (2022)</w:t>
      </w:r>
    </w:p>
    <w:p w14:paraId="71E293BB"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Sugiyono. </w:t>
      </w:r>
      <w:r w:rsidRPr="00203A38">
        <w:rPr>
          <w:rFonts w:ascii="Times New Roman" w:hAnsi="Times New Roman" w:cs="Times New Roman"/>
          <w:i/>
          <w:iCs/>
          <w:noProof/>
          <w:sz w:val="24"/>
          <w:szCs w:val="24"/>
        </w:rPr>
        <w:t>Metodologi Penelitian Kuantitatif, Kualitatif Dan R &amp; D</w:t>
      </w:r>
      <w:r w:rsidRPr="00203A38">
        <w:rPr>
          <w:rFonts w:ascii="Times New Roman" w:hAnsi="Times New Roman" w:cs="Times New Roman"/>
          <w:noProof/>
          <w:sz w:val="24"/>
          <w:szCs w:val="24"/>
        </w:rPr>
        <w:t>, 2020.</w:t>
      </w:r>
    </w:p>
    <w:p w14:paraId="1C4A6B7D"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Suriani, Nidia, Risnita, and M. Syahran Jailani. “Konsep Populasi Dan Sampling Serta Pemilihan Partisipan Ditinjau Dari Penelitian Ilmiah Pendidikan.” </w:t>
      </w:r>
      <w:r w:rsidRPr="00203A38">
        <w:rPr>
          <w:rFonts w:ascii="Times New Roman" w:hAnsi="Times New Roman" w:cs="Times New Roman"/>
          <w:i/>
          <w:iCs/>
          <w:noProof/>
          <w:sz w:val="24"/>
          <w:szCs w:val="24"/>
        </w:rPr>
        <w:t>Jurnal IHSAN : Jurnal Pendidikan Islam</w:t>
      </w:r>
      <w:r w:rsidRPr="00203A38">
        <w:rPr>
          <w:rFonts w:ascii="Times New Roman" w:hAnsi="Times New Roman" w:cs="Times New Roman"/>
          <w:noProof/>
          <w:sz w:val="24"/>
          <w:szCs w:val="24"/>
        </w:rPr>
        <w:t xml:space="preserve"> 1, no. 2 (2023): https://doi.org/10.61104/ihsan.v1i2.55.</w:t>
      </w:r>
    </w:p>
    <w:p w14:paraId="6E0A6C4E"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Suryani, Yani, and Desi Ika. “Faktor-Faktor Yang Mempengaruhi Pertumbuhan Laba Bank Umum Syariah Di Indonesia.” </w:t>
      </w:r>
      <w:r w:rsidRPr="00203A38">
        <w:rPr>
          <w:rFonts w:ascii="Times New Roman" w:hAnsi="Times New Roman" w:cs="Times New Roman"/>
          <w:i/>
          <w:iCs/>
          <w:noProof/>
          <w:sz w:val="24"/>
          <w:szCs w:val="24"/>
        </w:rPr>
        <w:t>JURNAL AKUNTANSI DAN BISNIS : Jurnal Program Studi Akuntansi</w:t>
      </w:r>
      <w:r w:rsidRPr="00203A38">
        <w:rPr>
          <w:rFonts w:ascii="Times New Roman" w:hAnsi="Times New Roman" w:cs="Times New Roman"/>
          <w:noProof/>
          <w:sz w:val="24"/>
          <w:szCs w:val="24"/>
        </w:rPr>
        <w:t xml:space="preserve"> 5, no. 2 (2019) https://doi.org/10.31289/jab.v5i2.2642.</w:t>
      </w:r>
    </w:p>
    <w:p w14:paraId="20E9DAA2"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Tarmidi, Heri, and Adji Widodo. “Pengaruh Capital Adequacy Ratio (CAR) Dan Biaya Operasional Pendapatan Operasional (BOPO) Terhadap Return On Asset (ROA) Pada PT. Bank Syariah Mandiri TBK Periode 2011 – 2019.” </w:t>
      </w:r>
      <w:r w:rsidRPr="00203A38">
        <w:rPr>
          <w:rFonts w:ascii="Times New Roman" w:hAnsi="Times New Roman" w:cs="Times New Roman"/>
          <w:i/>
          <w:iCs/>
          <w:noProof/>
          <w:sz w:val="24"/>
          <w:szCs w:val="24"/>
        </w:rPr>
        <w:t>Jurnal Ilmiah PERKUSI</w:t>
      </w:r>
      <w:r w:rsidRPr="00203A38">
        <w:rPr>
          <w:rFonts w:ascii="Times New Roman" w:hAnsi="Times New Roman" w:cs="Times New Roman"/>
          <w:noProof/>
          <w:sz w:val="24"/>
          <w:szCs w:val="24"/>
        </w:rPr>
        <w:t xml:space="preserve"> 1, no. 2 (2021 https://doi.org/10.32493/j.perkusi.v1i2.11045.</w:t>
      </w:r>
    </w:p>
    <w:p w14:paraId="46753AB7"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Usanti, Trisadini Prasastinah. “Pengelolaan Risiko Pembiayaan Di Bank Syariah.” </w:t>
      </w:r>
      <w:r w:rsidRPr="00203A38">
        <w:rPr>
          <w:rFonts w:ascii="Times New Roman" w:hAnsi="Times New Roman" w:cs="Times New Roman"/>
          <w:i/>
          <w:iCs/>
          <w:noProof/>
          <w:sz w:val="24"/>
          <w:szCs w:val="24"/>
        </w:rPr>
        <w:t>ADIL: Jurnal Hukum</w:t>
      </w:r>
      <w:r w:rsidRPr="00203A38">
        <w:rPr>
          <w:rFonts w:ascii="Times New Roman" w:hAnsi="Times New Roman" w:cs="Times New Roman"/>
          <w:noProof/>
          <w:sz w:val="24"/>
          <w:szCs w:val="24"/>
        </w:rPr>
        <w:t xml:space="preserve"> 3, no. 2 (2015)</w:t>
      </w:r>
    </w:p>
    <w:p w14:paraId="1A5A4B5C" w14:textId="77777777" w:rsidR="008740C7" w:rsidRPr="00203A38"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Wrespatiningsih, Hayu Mas, and Luh Putu Mahyuni. “Praktik Green Banking Dalam Memediasi Pengaruh Corporate Social Responsibility Terhadap Kinerja Perusahaan </w:t>
      </w:r>
      <w:r w:rsidRPr="00203A38">
        <w:rPr>
          <w:rFonts w:ascii="Times New Roman" w:hAnsi="Times New Roman" w:cs="Times New Roman"/>
          <w:noProof/>
          <w:sz w:val="24"/>
          <w:szCs w:val="24"/>
        </w:rPr>
        <w:lastRenderedPageBreak/>
        <w:t xml:space="preserve">Perbankan.” </w:t>
      </w:r>
      <w:r w:rsidRPr="00203A38">
        <w:rPr>
          <w:rFonts w:ascii="Times New Roman" w:hAnsi="Times New Roman" w:cs="Times New Roman"/>
          <w:i/>
          <w:iCs/>
          <w:noProof/>
          <w:sz w:val="24"/>
          <w:szCs w:val="24"/>
        </w:rPr>
        <w:t>JABI (Jurnal Akuntansi Berkelanjutan Indonesia)</w:t>
      </w:r>
      <w:r w:rsidRPr="00203A38">
        <w:rPr>
          <w:rFonts w:ascii="Times New Roman" w:hAnsi="Times New Roman" w:cs="Times New Roman"/>
          <w:noProof/>
          <w:sz w:val="24"/>
          <w:szCs w:val="24"/>
        </w:rPr>
        <w:t xml:space="preserve"> 5, no. 1 (2022) https://doi.org/10.32493/jabi.v1i1.y2022.p29-44.</w:t>
      </w:r>
    </w:p>
    <w:p w14:paraId="1509C9D6" w14:textId="77777777" w:rsidR="008740C7" w:rsidRDefault="008740C7" w:rsidP="008740C7">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203A38">
        <w:rPr>
          <w:rFonts w:ascii="Times New Roman" w:hAnsi="Times New Roman" w:cs="Times New Roman"/>
          <w:noProof/>
          <w:sz w:val="24"/>
          <w:szCs w:val="24"/>
        </w:rPr>
        <w:t xml:space="preserve">Zunaidi, Ruri Kurniasari &amp; Arif. “Analisa Pengaruh Capital Adequacy Ratio (CAR) Terhadap Return On Asset (ROA).” </w:t>
      </w:r>
      <w:r w:rsidRPr="00203A38">
        <w:rPr>
          <w:rFonts w:ascii="Times New Roman" w:hAnsi="Times New Roman" w:cs="Times New Roman"/>
          <w:i/>
          <w:iCs/>
          <w:noProof/>
          <w:sz w:val="24"/>
          <w:szCs w:val="24"/>
        </w:rPr>
        <w:t>Proceedings of Islamic Economics, Business, and Philanthropy</w:t>
      </w:r>
      <w:r w:rsidRPr="00203A38">
        <w:rPr>
          <w:rFonts w:ascii="Times New Roman" w:hAnsi="Times New Roman" w:cs="Times New Roman"/>
          <w:noProof/>
          <w:sz w:val="24"/>
          <w:szCs w:val="24"/>
        </w:rPr>
        <w:t xml:space="preserve"> 1, no. 2 (2022)</w:t>
      </w:r>
    </w:p>
    <w:p w14:paraId="56EBDAB5" w14:textId="23AD9B13" w:rsidR="008740C7" w:rsidRPr="008740C7" w:rsidRDefault="008740C7" w:rsidP="008740C7">
      <w:pPr>
        <w:rPr>
          <w:rFonts w:ascii="Times New Roman" w:hAnsi="Times New Roman" w:cs="Times New Roman"/>
          <w:b/>
          <w:sz w:val="24"/>
          <w:szCs w:val="24"/>
        </w:rPr>
      </w:pPr>
      <w:r w:rsidRPr="009857AD">
        <w:rPr>
          <w:rFonts w:ascii="Times New Roman" w:hAnsi="Times New Roman" w:cs="Times New Roman"/>
          <w:b/>
          <w:sz w:val="24"/>
          <w:szCs w:val="24"/>
        </w:rPr>
        <w:fldChar w:fldCharType="end"/>
      </w:r>
    </w:p>
    <w:sectPr w:rsidR="008740C7" w:rsidRPr="008740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632AC"/>
    <w:multiLevelType w:val="hybridMultilevel"/>
    <w:tmpl w:val="B0EA71F0"/>
    <w:lvl w:ilvl="0" w:tplc="71BE04F2">
      <w:start w:val="1"/>
      <w:numFmt w:val="decimal"/>
      <w:lvlText w:val="%1."/>
      <w:lvlJc w:val="left"/>
      <w:pPr>
        <w:ind w:left="2160" w:hanging="360"/>
      </w:pPr>
      <w:rPr>
        <w:rFonts w:hint="default"/>
      </w:rPr>
    </w:lvl>
    <w:lvl w:ilvl="1" w:tplc="71BE04F2">
      <w:start w:val="1"/>
      <w:numFmt w:val="decimal"/>
      <w:lvlText w:val="%2."/>
      <w:lvlJc w:val="left"/>
      <w:pPr>
        <w:ind w:left="2880" w:hanging="360"/>
      </w:pPr>
      <w:rPr>
        <w:rFonts w:hint="default"/>
      </w:r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 w15:restartNumberingAfterBreak="0">
    <w:nsid w:val="63F33ADE"/>
    <w:multiLevelType w:val="hybridMultilevel"/>
    <w:tmpl w:val="2E98F716"/>
    <w:lvl w:ilvl="0" w:tplc="38090015">
      <w:start w:val="1"/>
      <w:numFmt w:val="upperLetter"/>
      <w:lvlText w:val="%1."/>
      <w:lvlJc w:val="left"/>
      <w:pPr>
        <w:ind w:left="1146" w:hanging="360"/>
      </w:pPr>
    </w:lvl>
    <w:lvl w:ilvl="1" w:tplc="8A2AEDD2">
      <w:start w:val="1"/>
      <w:numFmt w:val="decimal"/>
      <w:lvlText w:val="%2."/>
      <w:lvlJc w:val="left"/>
      <w:pPr>
        <w:ind w:left="1866" w:hanging="360"/>
      </w:pPr>
      <w:rPr>
        <w:rFonts w:hint="default"/>
      </w:r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 w15:restartNumberingAfterBreak="0">
    <w:nsid w:val="7FCF77F1"/>
    <w:multiLevelType w:val="hybridMultilevel"/>
    <w:tmpl w:val="3296342C"/>
    <w:lvl w:ilvl="0" w:tplc="EC2623F8">
      <w:start w:val="1"/>
      <w:numFmt w:val="decimal"/>
      <w:lvlText w:val="%1."/>
      <w:lvlJc w:val="left"/>
      <w:pPr>
        <w:ind w:left="2160" w:hanging="360"/>
      </w:pPr>
      <w:rPr>
        <w:rFonts w:hint="default"/>
        <w:b w:val="0"/>
        <w:bCs w:val="0"/>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0C7"/>
    <w:rsid w:val="008740C7"/>
    <w:rsid w:val="00E363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7BBB1"/>
  <w15:chartTrackingRefBased/>
  <w15:docId w15:val="{87DDB4FD-E1B2-460B-9DC0-24F5BD6AE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0C7"/>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740C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740C7"/>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1697</Words>
  <Characters>9677</Characters>
  <Application>Microsoft Office Word</Application>
  <DocSecurity>0</DocSecurity>
  <Lines>80</Lines>
  <Paragraphs>22</Paragraphs>
  <ScaleCrop>false</ScaleCrop>
  <Company/>
  <LinksUpToDate>false</LinksUpToDate>
  <CharactersWithSpaces>11352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syanti juniarni</dc:creator>
  <cp:keywords/>
  <dc:description/>
  <cp:lastModifiedBy>syanti juniarni</cp:lastModifiedBy>
  <cp:revision>1</cp:revision>
  <dcterms:created xsi:type="dcterms:W3CDTF">2025-08-14T08:37:00Z</dcterms:created>
  <dcterms:modified xsi:type="dcterms:W3CDTF">2025-08-14T08:40:00Z</dcterms:modified>
</cp:coreProperties>
</file>