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DC103">
      <w:pPr>
        <w:pStyle w:val="2"/>
        <w:keepNext/>
        <w:keepLines/>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BAB V</w:t>
      </w:r>
    </w:p>
    <w:p w14:paraId="5068A863">
      <w:pPr>
        <w:pStyle w:val="2"/>
        <w:keepNext/>
        <w:keepLines/>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imes New Roman" w:hAnsi="Times New Roman" w:cs="Times New Roman"/>
          <w:lang w:val="en-US"/>
        </w:rPr>
      </w:pPr>
      <w:r>
        <w:rPr>
          <w:rFonts w:hint="default" w:ascii="Times New Roman" w:hAnsi="Times New Roman" w:cs="Times New Roman"/>
          <w:b/>
          <w:bCs/>
          <w:sz w:val="24"/>
          <w:szCs w:val="24"/>
          <w:lang w:val="en-US"/>
        </w:rPr>
        <w:t xml:space="preserve">PENUTUP </w:t>
      </w:r>
    </w:p>
    <w:p w14:paraId="44E91141">
      <w:pPr>
        <w:pStyle w:val="3"/>
        <w:pageBreakBefore w:val="0"/>
        <w:widowControl/>
        <w:numPr>
          <w:ilvl w:val="0"/>
          <w:numId w:val="11"/>
        </w:numPr>
        <w:kinsoku/>
        <w:wordWrap/>
        <w:overflowPunct/>
        <w:topLinePunct w:val="0"/>
        <w:autoSpaceDE/>
        <w:autoSpaceDN/>
        <w:bidi w:val="0"/>
        <w:adjustRightInd/>
        <w:snapToGrid/>
        <w:spacing w:before="0" w:beforeAutospacing="0" w:after="0" w:afterAutospacing="0" w:line="480" w:lineRule="auto"/>
        <w:textAlignment w:val="auto"/>
        <w:rPr>
          <w:rFonts w:hint="default"/>
          <w:sz w:val="24"/>
          <w:szCs w:val="24"/>
          <w:lang w:val="en-US"/>
        </w:rPr>
      </w:pPr>
      <w:r>
        <w:rPr>
          <w:rFonts w:hint="default" w:ascii="Times New Roman" w:hAnsi="Times New Roman" w:cs="Times New Roman"/>
          <w:sz w:val="24"/>
          <w:szCs w:val="24"/>
          <w:lang w:val="en-US"/>
        </w:rPr>
        <w:t xml:space="preserve">Kesimpulan </w:t>
      </w:r>
    </w:p>
    <w:p w14:paraId="1705FF4C">
      <w:pPr>
        <w:pageBreakBefore w:val="0"/>
        <w:widowControl/>
        <w:kinsoku/>
        <w:wordWrap/>
        <w:overflowPunct/>
        <w:topLinePunct w:val="0"/>
        <w:autoSpaceDE/>
        <w:autoSpaceDN/>
        <w:bidi w:val="0"/>
        <w:adjustRightInd/>
        <w:snapToGrid/>
        <w:spacing w:beforeAutospacing="0" w:after="0" w:afterAutospacing="0" w:line="480" w:lineRule="auto"/>
        <w:ind w:left="480" w:leftChars="200" w:firstLine="716" w:firstLineChars="0"/>
        <w:jc w:val="both"/>
        <w:textAlignment w:val="auto"/>
        <w:rPr>
          <w:rFonts w:hint="default" w:ascii="Times New Roman" w:hAnsi="Times New Roman"/>
          <w:sz w:val="24"/>
          <w:szCs w:val="24"/>
          <w:lang w:val="en-US"/>
        </w:rPr>
      </w:pPr>
      <w:r>
        <w:rPr>
          <w:rFonts w:hint="default" w:ascii="Times New Roman" w:hAnsi="Times New Roman"/>
          <w:sz w:val="24"/>
          <w:szCs w:val="24"/>
          <w:lang w:val="en-US"/>
        </w:rPr>
        <w:t>Berdasarkan pembahasan pada bab-bab sebelumnya, dapat disimpulkan hal-hal sebagai berikut:</w:t>
      </w:r>
    </w:p>
    <w:p w14:paraId="749A0C0E">
      <w:pPr>
        <w:pageBreakBefore w:val="0"/>
        <w:widowControl/>
        <w:numPr>
          <w:ilvl w:val="0"/>
          <w:numId w:val="12"/>
        </w:numPr>
        <w:kinsoku/>
        <w:wordWrap/>
        <w:overflowPunct/>
        <w:topLinePunct w:val="0"/>
        <w:autoSpaceDE/>
        <w:autoSpaceDN/>
        <w:bidi w:val="0"/>
        <w:adjustRightInd/>
        <w:snapToGrid/>
        <w:spacing w:beforeAutospacing="0" w:after="0" w:afterAutospacing="0" w:line="480" w:lineRule="auto"/>
        <w:ind w:left="845" w:leftChars="0" w:hanging="425" w:firstLineChars="0"/>
        <w:jc w:val="both"/>
        <w:textAlignment w:val="auto"/>
        <w:rPr>
          <w:rFonts w:hint="default" w:ascii="Times New Roman" w:hAnsi="Times New Roman"/>
          <w:b w:val="0"/>
          <w:bCs w:val="0"/>
          <w:sz w:val="24"/>
          <w:szCs w:val="24"/>
          <w:lang w:val="en-US"/>
        </w:rPr>
      </w:pPr>
      <w:r>
        <w:rPr>
          <w:rFonts w:hint="default" w:ascii="Times New Roman" w:hAnsi="Times New Roman"/>
          <w:b w:val="0"/>
          <w:bCs w:val="0"/>
          <w:sz w:val="24"/>
          <w:szCs w:val="24"/>
          <w:lang w:val="en-US"/>
        </w:rPr>
        <w:t xml:space="preserve">Metode </w:t>
      </w:r>
      <w:r>
        <w:rPr>
          <w:rFonts w:hint="default"/>
          <w:b w:val="0"/>
          <w:bCs w:val="0"/>
          <w:sz w:val="24"/>
          <w:szCs w:val="24"/>
          <w:lang w:val="en-US"/>
        </w:rPr>
        <w:t xml:space="preserve">penyampain </w:t>
      </w:r>
      <w:r>
        <w:rPr>
          <w:rFonts w:hint="default" w:ascii="Times New Roman" w:hAnsi="Times New Roman"/>
          <w:b w:val="0"/>
          <w:bCs w:val="0"/>
          <w:sz w:val="24"/>
          <w:szCs w:val="24"/>
          <w:lang w:val="en-US"/>
        </w:rPr>
        <w:t xml:space="preserve">tafsir al-Qur'an yang disajikan oleh </w:t>
      </w:r>
      <w:r>
        <w:rPr>
          <w:rFonts w:hint="default" w:ascii="Times New Roman" w:hAnsi="Times New Roman"/>
          <w:b w:val="0"/>
          <w:bCs w:val="0"/>
          <w:i/>
          <w:iCs/>
          <w:sz w:val="24"/>
          <w:szCs w:val="24"/>
          <w:lang w:val="en-US"/>
        </w:rPr>
        <w:t>One4Kids</w:t>
      </w:r>
      <w:r>
        <w:rPr>
          <w:rFonts w:hint="default" w:ascii="Times New Roman" w:hAnsi="Times New Roman"/>
          <w:b w:val="0"/>
          <w:bCs w:val="0"/>
          <w:sz w:val="24"/>
          <w:szCs w:val="24"/>
          <w:lang w:val="en-US"/>
        </w:rPr>
        <w:t xml:space="preserve"> di channel YouTube-nya meliputi:</w:t>
      </w:r>
    </w:p>
    <w:p w14:paraId="0DF76E87">
      <w:pPr>
        <w:keepNext w:val="0"/>
        <w:keepLines w:val="0"/>
        <w:pageBreakBefore w:val="0"/>
        <w:widowControl/>
        <w:numPr>
          <w:ilvl w:val="1"/>
          <w:numId w:val="12"/>
        </w:numPr>
        <w:kinsoku/>
        <w:wordWrap/>
        <w:overflowPunct/>
        <w:topLinePunct w:val="0"/>
        <w:autoSpaceDE/>
        <w:autoSpaceDN/>
        <w:bidi w:val="0"/>
        <w:adjustRightInd/>
        <w:snapToGrid/>
        <w:spacing w:beforeAutospacing="0" w:after="0" w:afterAutospacing="0" w:line="480" w:lineRule="auto"/>
        <w:ind w:left="1265" w:leftChars="0" w:hanging="425" w:firstLineChars="0"/>
        <w:jc w:val="both"/>
        <w:textAlignment w:val="auto"/>
        <w:rPr>
          <w:rFonts w:hint="default" w:ascii="Times New Roman" w:hAnsi="Times New Roman"/>
          <w:b w:val="0"/>
          <w:bCs w:val="0"/>
          <w:sz w:val="24"/>
          <w:szCs w:val="24"/>
          <w:lang w:val="en-US"/>
        </w:rPr>
      </w:pPr>
      <w:r>
        <w:rPr>
          <w:rFonts w:hint="default" w:ascii="Times New Roman" w:hAnsi="Times New Roman"/>
          <w:b w:val="0"/>
          <w:bCs w:val="0"/>
          <w:sz w:val="24"/>
          <w:szCs w:val="24"/>
          <w:lang w:val="en-US"/>
        </w:rPr>
        <w:t>Metode</w:t>
      </w:r>
      <w:r>
        <w:rPr>
          <w:rFonts w:hint="default" w:ascii="Times New Roman" w:hAnsi="Times New Roman"/>
          <w:b w:val="0"/>
          <w:bCs w:val="0"/>
          <w:i/>
          <w:iCs/>
          <w:sz w:val="24"/>
          <w:szCs w:val="24"/>
          <w:lang w:val="en-US"/>
        </w:rPr>
        <w:t xml:space="preserve"> Ijmālī: </w:t>
      </w:r>
      <w:r>
        <w:rPr>
          <w:rFonts w:hint="default" w:ascii="Times New Roman" w:hAnsi="Times New Roman"/>
          <w:b w:val="0"/>
          <w:bCs w:val="0"/>
          <w:sz w:val="24"/>
          <w:szCs w:val="24"/>
          <w:lang w:val="en-US"/>
        </w:rPr>
        <w:t>Menyampaikan makna ayat secara ringkas dan umum.</w:t>
      </w:r>
    </w:p>
    <w:p w14:paraId="3A7B2364">
      <w:pPr>
        <w:keepNext w:val="0"/>
        <w:keepLines w:val="0"/>
        <w:pageBreakBefore w:val="0"/>
        <w:widowControl/>
        <w:numPr>
          <w:ilvl w:val="1"/>
          <w:numId w:val="12"/>
        </w:numPr>
        <w:kinsoku/>
        <w:wordWrap/>
        <w:overflowPunct/>
        <w:topLinePunct w:val="0"/>
        <w:autoSpaceDE/>
        <w:autoSpaceDN/>
        <w:bidi w:val="0"/>
        <w:adjustRightInd/>
        <w:snapToGrid/>
        <w:spacing w:beforeAutospacing="0" w:after="0" w:afterAutospacing="0" w:line="480" w:lineRule="auto"/>
        <w:ind w:left="1265" w:leftChars="0" w:hanging="425" w:firstLineChars="0"/>
        <w:jc w:val="both"/>
        <w:textAlignment w:val="auto"/>
        <w:rPr>
          <w:rFonts w:hint="default" w:ascii="Times New Roman" w:hAnsi="Times New Roman"/>
          <w:b w:val="0"/>
          <w:bCs w:val="0"/>
          <w:sz w:val="24"/>
          <w:szCs w:val="24"/>
          <w:lang w:val="en-US"/>
        </w:rPr>
      </w:pPr>
      <w:r>
        <w:rPr>
          <w:rFonts w:hint="default" w:ascii="Times New Roman" w:hAnsi="Times New Roman"/>
          <w:b w:val="0"/>
          <w:bCs w:val="0"/>
          <w:sz w:val="24"/>
          <w:szCs w:val="24"/>
          <w:lang w:val="en-US"/>
        </w:rPr>
        <w:t xml:space="preserve">Sumber Tafsir: Lebih condong menggunakan tafsir </w:t>
      </w:r>
      <w:r>
        <w:rPr>
          <w:rFonts w:hint="default" w:ascii="Times New Roman" w:hAnsi="Times New Roman"/>
          <w:b w:val="0"/>
          <w:bCs w:val="0"/>
          <w:i/>
          <w:iCs/>
          <w:sz w:val="24"/>
          <w:szCs w:val="24"/>
          <w:lang w:val="en-US"/>
        </w:rPr>
        <w:t>Bi al-Ra’y.</w:t>
      </w:r>
    </w:p>
    <w:p w14:paraId="5D335D75">
      <w:pPr>
        <w:pageBreakBefore w:val="0"/>
        <w:widowControl/>
        <w:numPr>
          <w:ilvl w:val="1"/>
          <w:numId w:val="12"/>
        </w:numPr>
        <w:kinsoku/>
        <w:wordWrap/>
        <w:overflowPunct/>
        <w:topLinePunct w:val="0"/>
        <w:autoSpaceDE/>
        <w:autoSpaceDN/>
        <w:bidi w:val="0"/>
        <w:adjustRightInd/>
        <w:snapToGrid/>
        <w:spacing w:line="480" w:lineRule="auto"/>
        <w:ind w:left="1265" w:leftChars="0" w:hanging="425" w:firstLineChars="0"/>
        <w:jc w:val="both"/>
        <w:textAlignment w:val="auto"/>
        <w:rPr>
          <w:rFonts w:hint="default" w:ascii="Times New Roman" w:hAnsi="Times New Roman"/>
          <w:b w:val="0"/>
          <w:bCs w:val="0"/>
          <w:sz w:val="24"/>
          <w:szCs w:val="24"/>
          <w:lang w:val="en-US"/>
        </w:rPr>
      </w:pPr>
      <w:r>
        <w:rPr>
          <w:rFonts w:hint="default" w:ascii="Times New Roman" w:hAnsi="Times New Roman"/>
          <w:b w:val="0"/>
          <w:bCs w:val="0"/>
          <w:sz w:val="24"/>
          <w:szCs w:val="24"/>
          <w:lang w:val="en-US"/>
        </w:rPr>
        <w:t>Video Animasi: Dapat membantu menyampaikan makna materi yang abstrak menjadi lebih konkret</w:t>
      </w:r>
    </w:p>
    <w:p w14:paraId="6CF75B5E">
      <w:pPr>
        <w:keepNext w:val="0"/>
        <w:keepLines w:val="0"/>
        <w:pageBreakBefore w:val="0"/>
        <w:widowControl/>
        <w:numPr>
          <w:ilvl w:val="1"/>
          <w:numId w:val="12"/>
        </w:numPr>
        <w:kinsoku/>
        <w:wordWrap/>
        <w:overflowPunct/>
        <w:topLinePunct w:val="0"/>
        <w:autoSpaceDE/>
        <w:autoSpaceDN/>
        <w:bidi w:val="0"/>
        <w:adjustRightInd/>
        <w:snapToGrid/>
        <w:spacing w:beforeAutospacing="0" w:after="0" w:afterAutospacing="0" w:line="480" w:lineRule="auto"/>
        <w:ind w:left="1265" w:leftChars="0" w:hanging="425" w:firstLineChars="0"/>
        <w:jc w:val="both"/>
        <w:textAlignment w:val="auto"/>
        <w:rPr>
          <w:rFonts w:hint="default" w:ascii="Times New Roman" w:hAnsi="Times New Roman"/>
          <w:b w:val="0"/>
          <w:bCs w:val="0"/>
          <w:sz w:val="24"/>
          <w:szCs w:val="24"/>
          <w:lang w:val="en-US"/>
        </w:rPr>
      </w:pPr>
      <w:r>
        <w:rPr>
          <w:rFonts w:hint="default" w:ascii="Times New Roman" w:hAnsi="Times New Roman"/>
          <w:b w:val="0"/>
          <w:bCs w:val="0"/>
          <w:sz w:val="24"/>
          <w:szCs w:val="24"/>
          <w:lang w:val="en-US"/>
        </w:rPr>
        <w:t>Gaya Bahasa: Menggunakan bahasa sederhana, repetisi untuk menguatkan pesan, dan bahasa persuasif yang membangun koneksi emosional.</w:t>
      </w:r>
    </w:p>
    <w:p w14:paraId="0AF6AB7E">
      <w:pPr>
        <w:keepNext w:val="0"/>
        <w:keepLines w:val="0"/>
        <w:pageBreakBefore w:val="0"/>
        <w:widowControl/>
        <w:numPr>
          <w:ilvl w:val="1"/>
          <w:numId w:val="12"/>
        </w:numPr>
        <w:kinsoku/>
        <w:wordWrap/>
        <w:overflowPunct/>
        <w:topLinePunct w:val="0"/>
        <w:autoSpaceDE/>
        <w:autoSpaceDN/>
        <w:bidi w:val="0"/>
        <w:adjustRightInd/>
        <w:snapToGrid/>
        <w:spacing w:beforeAutospacing="0" w:after="0" w:afterAutospacing="0" w:line="480" w:lineRule="auto"/>
        <w:ind w:left="1265" w:leftChars="0" w:hanging="425" w:firstLineChars="0"/>
        <w:jc w:val="both"/>
        <w:textAlignment w:val="auto"/>
        <w:rPr>
          <w:rFonts w:hint="default" w:ascii="Times New Roman" w:hAnsi="Times New Roman"/>
          <w:b w:val="0"/>
          <w:bCs w:val="0"/>
          <w:sz w:val="24"/>
          <w:szCs w:val="24"/>
          <w:lang w:val="en-US"/>
        </w:rPr>
      </w:pPr>
      <w:r>
        <w:rPr>
          <w:rFonts w:hint="default" w:ascii="Times New Roman" w:hAnsi="Times New Roman"/>
          <w:b w:val="0"/>
          <w:bCs w:val="0"/>
          <w:sz w:val="24"/>
          <w:szCs w:val="24"/>
          <w:lang w:val="en-US"/>
        </w:rPr>
        <w:t>Pertanyaan Interaktif: Video-video terbaru dilengkapi pertanyaan interaktif, sebagai upaya Subhi Alshaik untuk melibatkan audiens secara aktif dalam proses pembelajaran.</w:t>
      </w:r>
    </w:p>
    <w:p w14:paraId="15D88C46">
      <w:pPr>
        <w:keepNext w:val="0"/>
        <w:keepLines w:val="0"/>
        <w:pageBreakBefore w:val="0"/>
        <w:widowControl/>
        <w:numPr>
          <w:ilvl w:val="0"/>
          <w:numId w:val="12"/>
        </w:numPr>
        <w:tabs>
          <w:tab w:val="left" w:pos="800"/>
          <w:tab w:val="left" w:pos="1600"/>
          <w:tab w:val="left" w:pos="7600"/>
          <w:tab w:val="left" w:pos="8000"/>
          <w:tab w:val="clear" w:pos="845"/>
        </w:tabs>
        <w:kinsoku/>
        <w:wordWrap/>
        <w:overflowPunct/>
        <w:topLinePunct w:val="0"/>
        <w:autoSpaceDE/>
        <w:autoSpaceDN/>
        <w:bidi w:val="0"/>
        <w:adjustRightInd/>
        <w:snapToGrid/>
        <w:spacing w:beforeAutospacing="0" w:after="0" w:afterAutospacing="0" w:line="480" w:lineRule="auto"/>
        <w:ind w:left="845" w:leftChars="0" w:right="168" w:rightChars="70" w:hanging="425" w:firstLineChars="0"/>
        <w:jc w:val="both"/>
        <w:textAlignment w:val="auto"/>
        <w:rPr>
          <w:rFonts w:hint="default" w:ascii="Times New Roman" w:hAnsi="Times New Roman"/>
          <w:i w:val="0"/>
          <w:iCs w:val="0"/>
          <w:spacing w:val="1"/>
          <w:sz w:val="24"/>
          <w:szCs w:val="24"/>
          <w:lang w:val="en-US"/>
        </w:rPr>
      </w:pPr>
      <w:r>
        <w:rPr>
          <w:rFonts w:hint="default" w:ascii="Times New Roman" w:hAnsi="Times New Roman"/>
          <w:sz w:val="24"/>
          <w:szCs w:val="24"/>
          <w:lang w:val="en-US"/>
        </w:rPr>
        <w:t xml:space="preserve">Langkah-langkah sistematika penafsiran al-Qur'an pada </w:t>
      </w:r>
      <w:r>
        <w:rPr>
          <w:rFonts w:hint="default" w:ascii="Times New Roman" w:hAnsi="Times New Roman"/>
          <w:i/>
          <w:iCs/>
          <w:sz w:val="24"/>
          <w:szCs w:val="24"/>
          <w:lang w:val="en-US"/>
        </w:rPr>
        <w:t xml:space="preserve">channel </w:t>
      </w:r>
      <w:r>
        <w:rPr>
          <w:rFonts w:hint="default" w:ascii="Times New Roman" w:hAnsi="Times New Roman"/>
          <w:sz w:val="24"/>
          <w:szCs w:val="24"/>
          <w:lang w:val="en-US"/>
        </w:rPr>
        <w:t>YouTube</w:t>
      </w:r>
      <w:r>
        <w:rPr>
          <w:rFonts w:hint="default" w:ascii="Times New Roman" w:hAnsi="Times New Roman"/>
          <w:i/>
          <w:iCs/>
          <w:sz w:val="24"/>
          <w:szCs w:val="24"/>
          <w:lang w:val="en-US"/>
        </w:rPr>
        <w:t xml:space="preserve"> One4Kids</w:t>
      </w:r>
      <w:r>
        <w:rPr>
          <w:rFonts w:hint="default" w:ascii="Times New Roman" w:hAnsi="Times New Roman"/>
          <w:sz w:val="24"/>
          <w:szCs w:val="24"/>
          <w:lang w:val="en-US"/>
        </w:rPr>
        <w:t xml:space="preserve"> dengan metode</w:t>
      </w:r>
      <w:r>
        <w:rPr>
          <w:rFonts w:hint="default" w:ascii="Times New Roman" w:hAnsi="Times New Roman"/>
          <w:i/>
          <w:iCs/>
          <w:sz w:val="24"/>
          <w:szCs w:val="24"/>
          <w:lang w:val="en-US"/>
        </w:rPr>
        <w:t xml:space="preserve"> ijmālī</w:t>
      </w:r>
      <w:r>
        <w:rPr>
          <w:rFonts w:hint="default" w:ascii="Times New Roman" w:hAnsi="Times New Roman"/>
          <w:sz w:val="24"/>
          <w:szCs w:val="24"/>
          <w:lang w:val="en-US"/>
        </w:rPr>
        <w:t xml:space="preserve"> yang dipadukan dengan sistematika penafsiran adalah sebagai berikut:</w:t>
      </w:r>
      <w:r>
        <w:rPr>
          <w:rFonts w:hint="default" w:ascii="Times New Roman" w:hAnsi="Times New Roman" w:cs="Times New Roman"/>
          <w:sz w:val="24"/>
          <w:szCs w:val="24"/>
          <w:lang w:val="en-US"/>
        </w:rPr>
        <w:tab/>
      </w:r>
    </w:p>
    <w:p w14:paraId="313DF3F8">
      <w:pPr>
        <w:keepNext w:val="0"/>
        <w:keepLines w:val="0"/>
        <w:pageBreakBefore w:val="0"/>
        <w:widowControl/>
        <w:numPr>
          <w:ilvl w:val="0"/>
          <w:numId w:val="13"/>
        </w:numPr>
        <w:tabs>
          <w:tab w:val="left" w:pos="1200"/>
          <w:tab w:val="left" w:pos="7600"/>
          <w:tab w:val="left" w:pos="8000"/>
          <w:tab w:val="clear" w:pos="1265"/>
        </w:tabs>
        <w:kinsoku/>
        <w:wordWrap/>
        <w:overflowPunct/>
        <w:topLinePunct w:val="0"/>
        <w:autoSpaceDE/>
        <w:autoSpaceDN/>
        <w:bidi w:val="0"/>
        <w:adjustRightInd/>
        <w:snapToGrid/>
        <w:spacing w:after="0" w:line="480" w:lineRule="auto"/>
        <w:ind w:left="1265" w:leftChars="0" w:right="168" w:rightChars="70" w:hanging="425" w:firstLineChars="0"/>
        <w:jc w:val="both"/>
        <w:textAlignment w:val="auto"/>
        <w:rPr>
          <w:rFonts w:hint="default" w:ascii="Times New Roman" w:hAnsi="Times New Roman"/>
          <w:i w:val="0"/>
          <w:iCs w:val="0"/>
          <w:spacing w:val="1"/>
          <w:sz w:val="24"/>
          <w:szCs w:val="24"/>
          <w:lang w:val="en-US"/>
        </w:rPr>
      </w:pPr>
      <w:r>
        <w:rPr>
          <w:rFonts w:hint="default" w:ascii="Times New Roman" w:hAnsi="Times New Roman"/>
          <w:i w:val="0"/>
          <w:iCs w:val="0"/>
          <w:spacing w:val="1"/>
          <w:sz w:val="24"/>
          <w:szCs w:val="24"/>
          <w:lang w:val="en-US"/>
        </w:rPr>
        <w:t>Penguraian ayat dan surah : Dilakukan pada semua surah sesuai urutan dalam mushaf al-Qur'an</w:t>
      </w:r>
      <w:r>
        <w:rPr>
          <w:rFonts w:hint="default"/>
          <w:i w:val="0"/>
          <w:iCs w:val="0"/>
          <w:spacing w:val="1"/>
          <w:sz w:val="24"/>
          <w:szCs w:val="24"/>
          <w:lang w:val="en-US"/>
        </w:rPr>
        <w:t xml:space="preserve"> </w:t>
      </w:r>
    </w:p>
    <w:p w14:paraId="3061A747">
      <w:pPr>
        <w:keepNext w:val="0"/>
        <w:keepLines w:val="0"/>
        <w:pageBreakBefore w:val="0"/>
        <w:widowControl/>
        <w:numPr>
          <w:ilvl w:val="0"/>
          <w:numId w:val="13"/>
        </w:numPr>
        <w:tabs>
          <w:tab w:val="left" w:pos="1200"/>
          <w:tab w:val="left" w:pos="7600"/>
          <w:tab w:val="left" w:pos="8000"/>
          <w:tab w:val="clear" w:pos="1265"/>
        </w:tabs>
        <w:kinsoku/>
        <w:wordWrap/>
        <w:overflowPunct/>
        <w:topLinePunct w:val="0"/>
        <w:autoSpaceDE/>
        <w:autoSpaceDN/>
        <w:bidi w:val="0"/>
        <w:adjustRightInd/>
        <w:snapToGrid/>
        <w:spacing w:after="0" w:line="480" w:lineRule="auto"/>
        <w:ind w:left="1265" w:leftChars="0" w:right="168" w:rightChars="70" w:hanging="425" w:firstLineChars="0"/>
        <w:jc w:val="both"/>
        <w:textAlignment w:val="auto"/>
        <w:rPr>
          <w:rFonts w:hint="default" w:ascii="Times New Roman" w:hAnsi="Times New Roman"/>
          <w:i w:val="0"/>
          <w:iCs w:val="0"/>
          <w:spacing w:val="1"/>
          <w:sz w:val="24"/>
          <w:szCs w:val="24"/>
          <w:lang w:val="en-US"/>
        </w:rPr>
      </w:pPr>
      <w:r>
        <w:rPr>
          <w:rFonts w:hint="default" w:ascii="Times New Roman" w:hAnsi="Times New Roman"/>
          <w:i w:val="0"/>
          <w:iCs w:val="0"/>
          <w:spacing w:val="1"/>
          <w:sz w:val="24"/>
          <w:szCs w:val="24"/>
          <w:lang w:val="en-US"/>
        </w:rPr>
        <w:t xml:space="preserve">Penjelasan Makna Umum: Tidak semua surah dijelaskan makna umumnya; hanya sebagian, seperti Surah an-Nās, al-Falaq, al-Nāṣr, dan al-Māʿūn dan </w:t>
      </w:r>
      <w:r>
        <w:rPr>
          <w:rFonts w:hint="default" w:ascii="Times New Roman" w:hAnsi="Times New Roman"/>
          <w:b w:val="0"/>
          <w:bCs w:val="0"/>
          <w:sz w:val="24"/>
          <w:szCs w:val="24"/>
          <w:lang w:val="en-US"/>
        </w:rPr>
        <w:t>al-Quraysh.</w:t>
      </w:r>
    </w:p>
    <w:p w14:paraId="05BD06D6">
      <w:pPr>
        <w:keepNext w:val="0"/>
        <w:keepLines w:val="0"/>
        <w:pageBreakBefore w:val="0"/>
        <w:widowControl/>
        <w:numPr>
          <w:ilvl w:val="0"/>
          <w:numId w:val="13"/>
        </w:numPr>
        <w:tabs>
          <w:tab w:val="left" w:pos="1200"/>
          <w:tab w:val="left" w:pos="7600"/>
          <w:tab w:val="left" w:pos="8000"/>
          <w:tab w:val="clear" w:pos="1265"/>
        </w:tabs>
        <w:kinsoku/>
        <w:wordWrap/>
        <w:overflowPunct/>
        <w:topLinePunct w:val="0"/>
        <w:autoSpaceDE/>
        <w:autoSpaceDN/>
        <w:bidi w:val="0"/>
        <w:adjustRightInd/>
        <w:snapToGrid/>
        <w:spacing w:after="0" w:line="480" w:lineRule="auto"/>
        <w:ind w:left="1265" w:leftChars="0" w:right="168" w:rightChars="70" w:hanging="425" w:firstLineChars="0"/>
        <w:jc w:val="both"/>
        <w:textAlignment w:val="auto"/>
        <w:rPr>
          <w:rFonts w:hint="default" w:ascii="Times New Roman" w:hAnsi="Times New Roman"/>
          <w:i w:val="0"/>
          <w:iCs w:val="0"/>
          <w:spacing w:val="1"/>
          <w:sz w:val="24"/>
          <w:szCs w:val="24"/>
          <w:lang w:val="en-US"/>
        </w:rPr>
      </w:pPr>
      <w:r>
        <w:rPr>
          <w:rFonts w:hint="default" w:ascii="Times New Roman" w:hAnsi="Times New Roman"/>
          <w:i/>
          <w:iCs/>
          <w:spacing w:val="1"/>
          <w:sz w:val="24"/>
          <w:szCs w:val="24"/>
          <w:lang w:val="en-US"/>
        </w:rPr>
        <w:t>Asbāb al-Nuzūl</w:t>
      </w:r>
      <w:r>
        <w:rPr>
          <w:rFonts w:hint="default" w:ascii="Times New Roman" w:hAnsi="Times New Roman"/>
          <w:i w:val="0"/>
          <w:iCs w:val="0"/>
          <w:spacing w:val="1"/>
          <w:sz w:val="24"/>
          <w:szCs w:val="24"/>
          <w:lang w:val="en-US"/>
        </w:rPr>
        <w:t xml:space="preserve">: Penyajian sebab turunnya surah hanya dilakukan pada beberapa surah tertentu, seperti Surah </w:t>
      </w:r>
      <w:r>
        <w:rPr>
          <w:rFonts w:hint="default" w:ascii="Times New Roman" w:hAnsi="Times New Roman"/>
          <w:b w:val="0"/>
          <w:bCs w:val="0"/>
          <w:sz w:val="24"/>
          <w:szCs w:val="24"/>
          <w:lang w:val="en-US"/>
        </w:rPr>
        <w:t>al-Ikhlāṣ,al-Lahab,al-Kāfirūn, al-Kawṡar.</w:t>
      </w:r>
    </w:p>
    <w:p w14:paraId="3FECBF65">
      <w:pPr>
        <w:keepNext w:val="0"/>
        <w:keepLines w:val="0"/>
        <w:pageBreakBefore w:val="0"/>
        <w:widowControl/>
        <w:numPr>
          <w:ilvl w:val="0"/>
          <w:numId w:val="13"/>
        </w:numPr>
        <w:tabs>
          <w:tab w:val="left" w:pos="1200"/>
          <w:tab w:val="left" w:pos="7600"/>
          <w:tab w:val="left" w:pos="8000"/>
          <w:tab w:val="clear" w:pos="1265"/>
        </w:tabs>
        <w:kinsoku/>
        <w:wordWrap/>
        <w:overflowPunct/>
        <w:topLinePunct w:val="0"/>
        <w:autoSpaceDE/>
        <w:autoSpaceDN/>
        <w:bidi w:val="0"/>
        <w:adjustRightInd/>
        <w:snapToGrid/>
        <w:spacing w:after="0" w:line="480" w:lineRule="auto"/>
        <w:ind w:left="1265" w:leftChars="0" w:right="168" w:rightChars="70" w:hanging="425" w:firstLineChars="0"/>
        <w:jc w:val="both"/>
        <w:textAlignment w:val="auto"/>
        <w:rPr>
          <w:rFonts w:hint="default" w:ascii="Times New Roman" w:hAnsi="Times New Roman"/>
          <w:i w:val="0"/>
          <w:iCs w:val="0"/>
          <w:spacing w:val="1"/>
          <w:sz w:val="24"/>
          <w:szCs w:val="24"/>
          <w:lang w:val="en-US"/>
        </w:rPr>
      </w:pPr>
      <w:r>
        <w:rPr>
          <w:rFonts w:hint="default" w:ascii="Times New Roman" w:hAnsi="Times New Roman"/>
          <w:i w:val="0"/>
          <w:iCs w:val="0"/>
          <w:spacing w:val="1"/>
          <w:sz w:val="24"/>
          <w:szCs w:val="24"/>
          <w:lang w:val="en-US"/>
        </w:rPr>
        <w:t>Transliterasi dan Terjemahan: Disajikan secara konsisten pada semua surah.</w:t>
      </w:r>
    </w:p>
    <w:p w14:paraId="6E4388A9">
      <w:pPr>
        <w:keepNext w:val="0"/>
        <w:keepLines w:val="0"/>
        <w:pageBreakBefore w:val="0"/>
        <w:widowControl/>
        <w:numPr>
          <w:ilvl w:val="0"/>
          <w:numId w:val="13"/>
        </w:numPr>
        <w:tabs>
          <w:tab w:val="left" w:pos="1200"/>
          <w:tab w:val="left" w:pos="7600"/>
          <w:tab w:val="left" w:pos="8000"/>
          <w:tab w:val="clear" w:pos="1265"/>
        </w:tabs>
        <w:kinsoku/>
        <w:wordWrap/>
        <w:overflowPunct/>
        <w:topLinePunct w:val="0"/>
        <w:autoSpaceDE/>
        <w:autoSpaceDN/>
        <w:bidi w:val="0"/>
        <w:adjustRightInd/>
        <w:snapToGrid/>
        <w:spacing w:after="0" w:line="480" w:lineRule="auto"/>
        <w:ind w:left="1265" w:leftChars="0" w:right="168" w:rightChars="70" w:hanging="425" w:firstLineChars="0"/>
        <w:jc w:val="both"/>
        <w:textAlignment w:val="auto"/>
        <w:rPr>
          <w:rFonts w:hint="default" w:ascii="Times New Roman" w:hAnsi="Times New Roman"/>
          <w:i w:val="0"/>
          <w:iCs w:val="0"/>
          <w:spacing w:val="1"/>
          <w:sz w:val="24"/>
          <w:szCs w:val="24"/>
          <w:lang w:val="en-US"/>
        </w:rPr>
      </w:pPr>
      <w:r>
        <w:rPr>
          <w:rFonts w:hint="default" w:ascii="Times New Roman" w:hAnsi="Times New Roman"/>
          <w:i w:val="0"/>
          <w:iCs w:val="0"/>
          <w:spacing w:val="1"/>
          <w:sz w:val="24"/>
          <w:szCs w:val="24"/>
          <w:lang w:val="en-US"/>
        </w:rPr>
        <w:t xml:space="preserve">Hadis atau Atsar: Hanya dihadirkan pada Surah </w:t>
      </w:r>
      <w:r>
        <w:rPr>
          <w:rFonts w:hint="default" w:ascii="Times New Roman" w:hAnsi="Times New Roman"/>
          <w:b w:val="0"/>
          <w:bCs w:val="0"/>
          <w:sz w:val="24"/>
          <w:szCs w:val="24"/>
          <w:lang w:val="en-US"/>
        </w:rPr>
        <w:t>al-Kawṡar.</w:t>
      </w:r>
    </w:p>
    <w:p w14:paraId="44E8B100">
      <w:pPr>
        <w:keepNext w:val="0"/>
        <w:keepLines w:val="0"/>
        <w:pageBreakBefore w:val="0"/>
        <w:widowControl/>
        <w:numPr>
          <w:ilvl w:val="0"/>
          <w:numId w:val="13"/>
        </w:numPr>
        <w:tabs>
          <w:tab w:val="left" w:pos="1200"/>
          <w:tab w:val="left" w:pos="7600"/>
          <w:tab w:val="left" w:pos="8000"/>
          <w:tab w:val="clear" w:pos="1265"/>
        </w:tabs>
        <w:kinsoku/>
        <w:wordWrap/>
        <w:overflowPunct/>
        <w:topLinePunct w:val="0"/>
        <w:autoSpaceDE/>
        <w:autoSpaceDN/>
        <w:bidi w:val="0"/>
        <w:adjustRightInd/>
        <w:snapToGrid/>
        <w:spacing w:after="0" w:line="480" w:lineRule="auto"/>
        <w:ind w:left="1265" w:leftChars="0" w:right="168" w:rightChars="70" w:hanging="425" w:firstLineChars="0"/>
        <w:jc w:val="both"/>
        <w:textAlignment w:val="auto"/>
        <w:rPr>
          <w:rFonts w:hint="default" w:ascii="Times New Roman" w:hAnsi="Times New Roman"/>
          <w:i w:val="0"/>
          <w:iCs w:val="0"/>
          <w:spacing w:val="1"/>
          <w:sz w:val="24"/>
          <w:szCs w:val="24"/>
          <w:lang w:val="en-US"/>
        </w:rPr>
      </w:pPr>
      <w:r>
        <w:rPr>
          <w:rFonts w:hint="default" w:ascii="Times New Roman" w:hAnsi="Times New Roman"/>
          <w:i w:val="0"/>
          <w:iCs w:val="0"/>
          <w:spacing w:val="1"/>
          <w:sz w:val="24"/>
          <w:szCs w:val="24"/>
          <w:lang w:val="en-US"/>
        </w:rPr>
        <w:t>Pendapat Penafsir: Disampaikan secara ringkas dan jelas pada semua surah.</w:t>
      </w:r>
    </w:p>
    <w:p w14:paraId="58E7D387">
      <w:pPr>
        <w:keepNext w:val="0"/>
        <w:keepLines w:val="0"/>
        <w:pageBreakBefore w:val="0"/>
        <w:widowControl/>
        <w:numPr>
          <w:ilvl w:val="0"/>
          <w:numId w:val="13"/>
        </w:numPr>
        <w:tabs>
          <w:tab w:val="left" w:pos="1200"/>
          <w:tab w:val="left" w:pos="7600"/>
          <w:tab w:val="left" w:pos="8000"/>
          <w:tab w:val="clear" w:pos="1265"/>
        </w:tabs>
        <w:kinsoku/>
        <w:wordWrap/>
        <w:overflowPunct/>
        <w:topLinePunct w:val="0"/>
        <w:autoSpaceDE/>
        <w:autoSpaceDN/>
        <w:bidi w:val="0"/>
        <w:adjustRightInd/>
        <w:snapToGrid/>
        <w:spacing w:after="0" w:line="480" w:lineRule="auto"/>
        <w:ind w:left="1265" w:leftChars="0" w:right="168" w:rightChars="70" w:hanging="425" w:firstLineChars="0"/>
        <w:jc w:val="both"/>
        <w:textAlignment w:val="auto"/>
        <w:rPr>
          <w:rFonts w:hint="default" w:ascii="Times New Roman" w:hAnsi="Times New Roman"/>
          <w:i w:val="0"/>
          <w:iCs w:val="0"/>
          <w:spacing w:val="1"/>
          <w:sz w:val="24"/>
          <w:szCs w:val="24"/>
          <w:lang w:val="en-US"/>
        </w:rPr>
      </w:pPr>
      <w:r>
        <w:rPr>
          <w:rFonts w:hint="default" w:ascii="Times New Roman" w:hAnsi="Times New Roman"/>
          <w:i w:val="0"/>
          <w:iCs w:val="0"/>
          <w:spacing w:val="1"/>
          <w:sz w:val="24"/>
          <w:szCs w:val="24"/>
          <w:lang w:val="en-US"/>
        </w:rPr>
        <w:t xml:space="preserve">Penjelasan Mufradat: Hanya dilakukan pada sebagian surah, seperti an-Nās, al-Falaq, </w:t>
      </w:r>
      <w:r>
        <w:rPr>
          <w:rFonts w:hint="default" w:ascii="Times New Roman" w:hAnsi="Times New Roman"/>
          <w:b w:val="0"/>
          <w:bCs w:val="0"/>
          <w:sz w:val="24"/>
          <w:szCs w:val="24"/>
          <w:lang w:val="en-US"/>
        </w:rPr>
        <w:t>al-Ikhlāṣ,</w:t>
      </w:r>
      <w:r>
        <w:rPr>
          <w:rFonts w:hint="default" w:ascii="Times New Roman" w:hAnsi="Times New Roman"/>
          <w:i w:val="0"/>
          <w:iCs w:val="0"/>
          <w:spacing w:val="1"/>
          <w:sz w:val="24"/>
          <w:szCs w:val="24"/>
          <w:lang w:val="en-US"/>
        </w:rPr>
        <w:t xml:space="preserve">al-Lahab, </w:t>
      </w:r>
      <w:r>
        <w:rPr>
          <w:rFonts w:hint="default" w:ascii="Times New Roman" w:hAnsi="Times New Roman"/>
          <w:b w:val="0"/>
          <w:bCs w:val="0"/>
          <w:sz w:val="24"/>
          <w:szCs w:val="24"/>
          <w:lang w:val="en-US"/>
        </w:rPr>
        <w:t>Fātiḥah, dan al-Kawṡar</w:t>
      </w:r>
    </w:p>
    <w:p w14:paraId="0555204B">
      <w:pPr>
        <w:keepNext w:val="0"/>
        <w:keepLines w:val="0"/>
        <w:pageBreakBefore w:val="0"/>
        <w:widowControl/>
        <w:numPr>
          <w:ilvl w:val="0"/>
          <w:numId w:val="13"/>
        </w:numPr>
        <w:tabs>
          <w:tab w:val="left" w:pos="1200"/>
          <w:tab w:val="left" w:pos="7600"/>
          <w:tab w:val="left" w:pos="8000"/>
          <w:tab w:val="clear" w:pos="1265"/>
        </w:tabs>
        <w:kinsoku/>
        <w:wordWrap/>
        <w:overflowPunct/>
        <w:topLinePunct w:val="0"/>
        <w:autoSpaceDE/>
        <w:autoSpaceDN/>
        <w:bidi w:val="0"/>
        <w:adjustRightInd/>
        <w:snapToGrid/>
        <w:spacing w:after="0" w:line="480" w:lineRule="auto"/>
        <w:ind w:left="1265" w:leftChars="0" w:right="168" w:rightChars="70" w:hanging="425" w:firstLineChars="0"/>
        <w:jc w:val="both"/>
        <w:textAlignment w:val="auto"/>
        <w:rPr>
          <w:rFonts w:hint="default" w:ascii="Times New Roman" w:hAnsi="Times New Roman"/>
          <w:i w:val="0"/>
          <w:iCs w:val="0"/>
          <w:spacing w:val="1"/>
          <w:sz w:val="24"/>
          <w:szCs w:val="24"/>
          <w:lang w:val="en-US"/>
        </w:rPr>
      </w:pPr>
      <w:r>
        <w:rPr>
          <w:rFonts w:hint="default" w:ascii="Times New Roman" w:hAnsi="Times New Roman"/>
          <w:i w:val="0"/>
          <w:iCs w:val="0"/>
          <w:spacing w:val="1"/>
          <w:sz w:val="24"/>
          <w:szCs w:val="24"/>
          <w:lang w:val="en-US"/>
        </w:rPr>
        <w:t>Penggunaan Diksi: Serupa dengan lafaz al-Qur'an, tetapi hanya diterapkan pada beberapa surah, seperti an-Nās dan al-Nāṣr.</w:t>
      </w:r>
    </w:p>
    <w:p w14:paraId="04A6EEA1">
      <w:pPr>
        <w:keepNext w:val="0"/>
        <w:keepLines w:val="0"/>
        <w:pageBreakBefore w:val="0"/>
        <w:widowControl/>
        <w:numPr>
          <w:ilvl w:val="0"/>
          <w:numId w:val="13"/>
        </w:numPr>
        <w:tabs>
          <w:tab w:val="left" w:pos="1200"/>
          <w:tab w:val="left" w:pos="7600"/>
          <w:tab w:val="left" w:pos="8000"/>
          <w:tab w:val="clear" w:pos="1265"/>
        </w:tabs>
        <w:kinsoku/>
        <w:wordWrap/>
        <w:overflowPunct/>
        <w:topLinePunct w:val="0"/>
        <w:autoSpaceDE/>
        <w:autoSpaceDN/>
        <w:bidi w:val="0"/>
        <w:adjustRightInd/>
        <w:snapToGrid/>
        <w:spacing w:after="0" w:line="480" w:lineRule="auto"/>
        <w:ind w:left="1265" w:leftChars="0" w:right="168" w:rightChars="70" w:hanging="425" w:firstLineChars="0"/>
        <w:jc w:val="both"/>
        <w:textAlignment w:val="auto"/>
        <w:rPr>
          <w:rFonts w:hint="default" w:ascii="Times New Roman" w:hAnsi="Times New Roman"/>
          <w:i w:val="0"/>
          <w:iCs w:val="0"/>
          <w:spacing w:val="1"/>
          <w:sz w:val="24"/>
          <w:szCs w:val="24"/>
          <w:lang w:val="en-US"/>
        </w:rPr>
      </w:pPr>
      <w:r>
        <w:rPr>
          <w:rFonts w:hint="default" w:ascii="Times New Roman" w:hAnsi="Times New Roman"/>
          <w:i w:val="0"/>
          <w:iCs w:val="0"/>
          <w:spacing w:val="1"/>
          <w:sz w:val="24"/>
          <w:szCs w:val="24"/>
          <w:lang w:val="en-US"/>
        </w:rPr>
        <w:t>Munasabah Ayat: Keterkaitan antar ayat hanya disajikan pada Surah an-Nās.</w:t>
      </w:r>
    </w:p>
    <w:p w14:paraId="79BB843B">
      <w:pPr>
        <w:keepNext w:val="0"/>
        <w:keepLines w:val="0"/>
        <w:pageBreakBefore w:val="0"/>
        <w:widowControl/>
        <w:numPr>
          <w:ilvl w:val="0"/>
          <w:numId w:val="13"/>
        </w:numPr>
        <w:tabs>
          <w:tab w:val="left" w:pos="1200"/>
          <w:tab w:val="left" w:pos="7600"/>
          <w:tab w:val="left" w:pos="8000"/>
          <w:tab w:val="clear" w:pos="1265"/>
        </w:tabs>
        <w:kinsoku/>
        <w:wordWrap/>
        <w:overflowPunct/>
        <w:topLinePunct w:val="0"/>
        <w:autoSpaceDE/>
        <w:autoSpaceDN/>
        <w:bidi w:val="0"/>
        <w:adjustRightInd/>
        <w:snapToGrid/>
        <w:spacing w:after="0" w:line="480" w:lineRule="auto"/>
        <w:ind w:left="1265" w:leftChars="0" w:right="168" w:rightChars="70" w:hanging="425" w:firstLineChars="0"/>
        <w:jc w:val="both"/>
        <w:textAlignment w:val="auto"/>
        <w:rPr>
          <w:rFonts w:hint="default" w:ascii="Times New Roman" w:hAnsi="Times New Roman"/>
          <w:i w:val="0"/>
          <w:iCs w:val="0"/>
          <w:spacing w:val="1"/>
          <w:sz w:val="24"/>
          <w:szCs w:val="24"/>
          <w:lang w:val="en-US"/>
        </w:rPr>
      </w:pPr>
      <w:r>
        <w:rPr>
          <w:rFonts w:hint="default" w:ascii="Times New Roman" w:hAnsi="Times New Roman"/>
          <w:i w:val="0"/>
          <w:iCs w:val="0"/>
          <w:spacing w:val="1"/>
          <w:sz w:val="24"/>
          <w:szCs w:val="24"/>
          <w:lang w:val="en-US"/>
        </w:rPr>
        <w:t>Pesan Mendidik: Disampaikan konsisten di semua surah sebagai bagian dari penutupan video.</w:t>
      </w:r>
    </w:p>
    <w:p w14:paraId="23D37AEB">
      <w:pPr>
        <w:pStyle w:val="3"/>
        <w:pageBreakBefore w:val="0"/>
        <w:widowControl/>
        <w:numPr>
          <w:ilvl w:val="0"/>
          <w:numId w:val="11"/>
        </w:numPr>
        <w:kinsoku/>
        <w:wordWrap/>
        <w:overflowPunct/>
        <w:topLinePunct w:val="0"/>
        <w:autoSpaceDE/>
        <w:autoSpaceDN/>
        <w:bidi w:val="0"/>
        <w:adjustRightInd/>
        <w:snapToGrid/>
        <w:spacing w:before="0" w:beforeAutospacing="0" w:after="0" w:afterAutospacing="0" w:line="480" w:lineRule="auto"/>
        <w:ind w:hanging="425"/>
        <w:jc w:val="both"/>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Saran</w:t>
      </w:r>
    </w:p>
    <w:p w14:paraId="764050A0">
      <w:pPr>
        <w:keepNext w:val="0"/>
        <w:keepLines w:val="0"/>
        <w:pageBreakBefore w:val="0"/>
        <w:widowControl/>
        <w:kinsoku/>
        <w:wordWrap/>
        <w:overflowPunct/>
        <w:topLinePunct w:val="0"/>
        <w:autoSpaceDE/>
        <w:autoSpaceDN/>
        <w:bidi w:val="0"/>
        <w:adjustRightInd/>
        <w:snapToGrid/>
        <w:spacing w:beforeAutospacing="0" w:after="0" w:afterAutospacing="0" w:line="480" w:lineRule="auto"/>
        <w:ind w:left="480" w:leftChars="200" w:firstLine="714" w:firstLineChars="0"/>
        <w:jc w:val="both"/>
        <w:textAlignment w:val="auto"/>
        <w:rPr>
          <w:rFonts w:hint="default" w:ascii="Times New Roman" w:hAnsi="Times New Roman"/>
          <w:sz w:val="24"/>
          <w:szCs w:val="24"/>
          <w:lang w:val="en-US"/>
        </w:rPr>
      </w:pPr>
      <w:r>
        <w:rPr>
          <w:rFonts w:hint="default" w:ascii="Times New Roman" w:hAnsi="Times New Roman"/>
          <w:sz w:val="24"/>
          <w:szCs w:val="24"/>
          <w:lang w:val="en-US"/>
        </w:rPr>
        <w:t>Berdasarkan kesimpulan di atas, penulis ingin menyampaikan beberapa pesan penting. Pertama, penulis ingin memberikan saran agar penelitian ini dapat meningkatkan pemahaman tafsir yang berbeda, sehinggadapat menjadi bagian dari kekayaan ilmu pengetahuan dalam Islam</w:t>
      </w:r>
    </w:p>
    <w:p w14:paraId="320A825B">
      <w:pPr>
        <w:keepNext w:val="0"/>
        <w:keepLines w:val="0"/>
        <w:pageBreakBefore w:val="0"/>
        <w:widowControl/>
        <w:kinsoku/>
        <w:wordWrap/>
        <w:overflowPunct/>
        <w:topLinePunct w:val="0"/>
        <w:autoSpaceDE/>
        <w:autoSpaceDN/>
        <w:bidi w:val="0"/>
        <w:adjustRightInd/>
        <w:snapToGrid/>
        <w:spacing w:beforeAutospacing="0" w:after="0" w:afterAutospacing="0" w:line="480" w:lineRule="auto"/>
        <w:ind w:left="480" w:leftChars="200" w:firstLine="714" w:firstLineChars="0"/>
        <w:jc w:val="both"/>
        <w:textAlignment w:val="auto"/>
        <w:rPr>
          <w:rFonts w:hint="default" w:ascii="Times New Roman" w:hAnsi="Times New Roman"/>
          <w:sz w:val="24"/>
          <w:szCs w:val="24"/>
        </w:rPr>
      </w:pPr>
      <w:r>
        <w:rPr>
          <w:rFonts w:hint="default" w:ascii="Times New Roman" w:hAnsi="Times New Roman"/>
          <w:sz w:val="24"/>
          <w:szCs w:val="24"/>
        </w:rPr>
        <w:t>Kedua, penulis mengingatkan bahwa penelitian tentang</w:t>
      </w:r>
      <w:r>
        <w:rPr>
          <w:rFonts w:hint="default" w:ascii="Times New Roman" w:hAnsi="Times New Roman"/>
          <w:sz w:val="24"/>
          <w:szCs w:val="24"/>
          <w:lang w:val="en-US"/>
        </w:rPr>
        <w:t xml:space="preserve"> metode tafsit untuk anak </w:t>
      </w:r>
      <w:r>
        <w:rPr>
          <w:rFonts w:hint="default" w:ascii="Times New Roman" w:hAnsi="Times New Roman"/>
          <w:sz w:val="24"/>
          <w:szCs w:val="24"/>
        </w:rPr>
        <w:t>memiliki</w:t>
      </w:r>
      <w:r>
        <w:rPr>
          <w:rFonts w:hint="default" w:ascii="Times New Roman" w:hAnsi="Times New Roman"/>
          <w:sz w:val="24"/>
          <w:szCs w:val="24"/>
          <w:lang w:val="en-US"/>
        </w:rPr>
        <w:t xml:space="preserve"> </w:t>
      </w:r>
      <w:r>
        <w:rPr>
          <w:rFonts w:hint="default" w:ascii="Times New Roman" w:hAnsi="Times New Roman"/>
          <w:sz w:val="24"/>
          <w:szCs w:val="24"/>
        </w:rPr>
        <w:t>cakupan yang luas, dan perlu terus dievaluasi agar menjadi lebih baik. Penulis juga</w:t>
      </w:r>
      <w:r>
        <w:rPr>
          <w:rFonts w:hint="default" w:ascii="Times New Roman" w:hAnsi="Times New Roman"/>
          <w:sz w:val="24"/>
          <w:szCs w:val="24"/>
          <w:lang w:val="en-US"/>
        </w:rPr>
        <w:t xml:space="preserve"> </w:t>
      </w:r>
      <w:r>
        <w:rPr>
          <w:rFonts w:hint="default" w:ascii="Times New Roman" w:hAnsi="Times New Roman"/>
          <w:sz w:val="24"/>
          <w:szCs w:val="24"/>
        </w:rPr>
        <w:t>mendorong pembaca untuk melanjutkan penelitian serupa dalam skala yang lebih</w:t>
      </w:r>
      <w:r>
        <w:rPr>
          <w:rFonts w:hint="default" w:ascii="Times New Roman" w:hAnsi="Times New Roman"/>
          <w:sz w:val="24"/>
          <w:szCs w:val="24"/>
          <w:lang w:val="en-US"/>
        </w:rPr>
        <w:t xml:space="preserve"> </w:t>
      </w:r>
      <w:r>
        <w:rPr>
          <w:rFonts w:hint="default" w:ascii="Times New Roman" w:hAnsi="Times New Roman"/>
          <w:sz w:val="24"/>
          <w:szCs w:val="24"/>
        </w:rPr>
        <w:t>besar.</w:t>
      </w:r>
    </w:p>
    <w:p w14:paraId="087CA4EF">
      <w:pPr>
        <w:keepNext w:val="0"/>
        <w:keepLines w:val="0"/>
        <w:pageBreakBefore w:val="0"/>
        <w:widowControl/>
        <w:kinsoku/>
        <w:wordWrap/>
        <w:overflowPunct/>
        <w:topLinePunct w:val="0"/>
        <w:autoSpaceDE/>
        <w:autoSpaceDN/>
        <w:bidi w:val="0"/>
        <w:adjustRightInd/>
        <w:snapToGrid/>
        <w:spacing w:beforeAutospacing="0" w:after="0" w:afterAutospacing="0" w:line="480" w:lineRule="auto"/>
        <w:ind w:left="480" w:leftChars="200" w:firstLine="716" w:firstLineChars="0"/>
        <w:jc w:val="both"/>
        <w:textAlignment w:val="auto"/>
        <w:rPr>
          <w:rFonts w:hint="default" w:ascii="Times New Roman" w:hAnsi="Times New Roman" w:cs="Times New Roman"/>
          <w:sz w:val="24"/>
          <w:szCs w:val="24"/>
        </w:rPr>
      </w:pPr>
      <w:r>
        <w:rPr>
          <w:rFonts w:hint="default" w:ascii="Times New Roman" w:hAnsi="Times New Roman"/>
          <w:sz w:val="24"/>
          <w:szCs w:val="24"/>
        </w:rPr>
        <w:t>Ketiga, penulis mengharapkan kritik dan saran yang membangun dari pembaca</w:t>
      </w:r>
      <w:r>
        <w:rPr>
          <w:rFonts w:hint="default" w:ascii="Times New Roman" w:hAnsi="Times New Roman"/>
          <w:sz w:val="24"/>
          <w:szCs w:val="24"/>
          <w:lang w:val="en-US"/>
        </w:rPr>
        <w:t xml:space="preserve"> </w:t>
      </w:r>
      <w:r>
        <w:rPr>
          <w:rFonts w:hint="default" w:ascii="Times New Roman" w:hAnsi="Times New Roman"/>
          <w:sz w:val="24"/>
          <w:szCs w:val="24"/>
        </w:rPr>
        <w:t>untuk meningkatkan kualitas tulisan skripsi ini. Penulis akan selalu bersedia</w:t>
      </w:r>
      <w:r>
        <w:rPr>
          <w:rFonts w:hint="default" w:ascii="Times New Roman" w:hAnsi="Times New Roman"/>
          <w:sz w:val="24"/>
          <w:szCs w:val="24"/>
          <w:lang w:val="en-US"/>
        </w:rPr>
        <w:t xml:space="preserve"> </w:t>
      </w:r>
      <w:r>
        <w:rPr>
          <w:rFonts w:hint="default" w:ascii="Times New Roman" w:hAnsi="Times New Roman"/>
          <w:sz w:val="24"/>
          <w:szCs w:val="24"/>
        </w:rPr>
        <w:t>melakukan perbaikan dan penyempurnaan atas segala kekurangan dan kesalahan</w:t>
      </w:r>
      <w:r>
        <w:rPr>
          <w:rFonts w:hint="default" w:ascii="Times New Roman" w:hAnsi="Times New Roman"/>
          <w:sz w:val="24"/>
          <w:szCs w:val="24"/>
          <w:lang w:val="en-US"/>
        </w:rPr>
        <w:t xml:space="preserve"> </w:t>
      </w:r>
      <w:r>
        <w:rPr>
          <w:rFonts w:hint="default" w:ascii="Times New Roman" w:hAnsi="Times New Roman"/>
          <w:sz w:val="24"/>
          <w:szCs w:val="24"/>
        </w:rPr>
        <w:t>sebagai hamba Allah yang lemah yang bergantung pada bimbingan dan</w:t>
      </w:r>
      <w:r>
        <w:rPr>
          <w:rFonts w:hint="default" w:ascii="Times New Roman" w:hAnsi="Times New Roman"/>
          <w:sz w:val="24"/>
          <w:szCs w:val="24"/>
          <w:lang w:val="en-US"/>
        </w:rPr>
        <w:t xml:space="preserve"> </w:t>
      </w:r>
      <w:r>
        <w:rPr>
          <w:rFonts w:hint="default" w:ascii="Times New Roman" w:hAnsi="Times New Roman"/>
          <w:sz w:val="24"/>
          <w:szCs w:val="24"/>
        </w:rPr>
        <w:t>perlindungan-Nya.</w:t>
      </w:r>
    </w:p>
    <w:p w14:paraId="374B31D6">
      <w:pPr>
        <w:pageBreakBefore w:val="0"/>
        <w:kinsoku/>
        <w:wordWrap/>
        <w:overflowPunct/>
        <w:topLinePunct w:val="0"/>
        <w:autoSpaceDE/>
        <w:autoSpaceDN/>
        <w:adjustRightInd/>
        <w:snapToGrid/>
        <w:spacing w:beforeAutospacing="0" w:after="0" w:afterAutospacing="0" w:line="480" w:lineRule="auto"/>
        <w:jc w:val="center"/>
        <w:rPr>
          <w:rFonts w:hint="default" w:ascii="Times New Roman" w:hAnsi="Times New Roman" w:cs="Times New Roman"/>
        </w:rPr>
      </w:pPr>
    </w:p>
    <w:p w14:paraId="7CD0DB53">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036D9E18">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1D336DC3">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3040786B">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414D12F7">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2A6D44C6">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5B4E3BE7">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5BACC87D">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6BBF6919">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0C056F48">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0433641B">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5EAB0CD4">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15F86DD3">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46C7EB92">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pPr>
    </w:p>
    <w:p w14:paraId="3395D88C">
      <w:pPr>
        <w:pageBreakBefore w:val="0"/>
        <w:numPr>
          <w:ilvl w:val="0"/>
          <w:numId w:val="0"/>
        </w:numPr>
        <w:kinsoku/>
        <w:wordWrap/>
        <w:overflowPunct/>
        <w:topLinePunct w:val="0"/>
        <w:autoSpaceDE/>
        <w:autoSpaceDN/>
        <w:adjustRightInd/>
        <w:snapToGrid/>
        <w:spacing w:beforeAutospacing="0" w:after="0" w:afterAutospacing="0"/>
        <w:ind w:leftChars="0"/>
        <w:rPr>
          <w:rFonts w:hint="default"/>
          <w:lang w:val="en-US"/>
        </w:rPr>
        <w:sectPr>
          <w:headerReference r:id="rId5" w:type="default"/>
          <w:footerReference r:id="rId6" w:type="default"/>
          <w:type w:val="continuous"/>
          <w:pgSz w:w="11910" w:h="16840"/>
          <w:pgMar w:top="2268" w:right="1701" w:bottom="1701" w:left="2268" w:header="720" w:footer="720" w:gutter="0"/>
          <w:pgNumType w:fmt="decimal" w:chapStyle="1"/>
          <w:cols w:space="0" w:num="1"/>
          <w:rtlGutter w:val="0"/>
          <w:docGrid w:linePitch="360" w:charSpace="0"/>
        </w:sectPr>
      </w:pPr>
    </w:p>
    <w:p w14:paraId="48E343AF">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DAF</w:t>
      </w:r>
      <w:r>
        <w:rPr>
          <w:rFonts w:hint="default" w:cs="Times New Roman"/>
          <w:b/>
          <w:bCs/>
          <w:sz w:val="24"/>
          <w:szCs w:val="24"/>
          <w:lang w:val="en-US"/>
        </w:rPr>
        <w:t xml:space="preserve">TAR </w:t>
      </w:r>
      <w:r>
        <w:rPr>
          <w:rFonts w:hint="default" w:ascii="Times New Roman" w:hAnsi="Times New Roman" w:cs="Times New Roman"/>
          <w:b/>
          <w:bCs/>
          <w:sz w:val="24"/>
          <w:szCs w:val="24"/>
          <w:lang w:val="en-US"/>
        </w:rPr>
        <w:t xml:space="preserve"> PUSTAKA</w:t>
      </w:r>
    </w:p>
    <w:p w14:paraId="7900A1B3">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Arial"/>
          <w:b w:val="0"/>
          <w:bCs w:val="0"/>
          <w:kern w:val="0"/>
          <w:sz w:val="24"/>
          <w:szCs w:val="22"/>
          <w:u w:val="single"/>
          <w:lang w:val="en-US" w:eastAsia="zh-CN" w:bidi="ar"/>
        </w:rPr>
        <w:fldChar w:fldCharType="begin" w:fldLock="1"/>
      </w:r>
      <w:r>
        <w:rPr>
          <w:rFonts w:hint="default" w:ascii="Times New Roman" w:hAnsi="Times New Roman" w:eastAsia="Calibri" w:cs="Arial"/>
          <w:b w:val="0"/>
          <w:bCs w:val="0"/>
          <w:kern w:val="0"/>
          <w:sz w:val="24"/>
          <w:szCs w:val="22"/>
          <w:u w:val="single"/>
          <w:lang w:val="en-US" w:eastAsia="zh-CN" w:bidi="ar"/>
        </w:rPr>
        <w:instrText xml:space="preserve">ADDIN Mendeley Bibliography CSL_BIBLIOGRAPHY </w:instrText>
      </w:r>
      <w:r>
        <w:rPr>
          <w:rFonts w:hint="default" w:ascii="Times New Roman" w:hAnsi="Times New Roman" w:eastAsia="Calibri" w:cs="Arial"/>
          <w:b w:val="0"/>
          <w:bCs w:val="0"/>
          <w:kern w:val="0"/>
          <w:sz w:val="24"/>
          <w:szCs w:val="22"/>
          <w:u w:val="single"/>
          <w:lang w:val="en-US" w:eastAsia="zh-CN" w:bidi="ar"/>
        </w:rPr>
        <w:fldChar w:fldCharType="separate"/>
      </w:r>
      <w:r>
        <w:rPr>
          <w:rFonts w:hint="default" w:ascii="Times New Roman" w:hAnsi="Times New Roman" w:eastAsia="Calibri" w:cs="Times New Roman"/>
          <w:b w:val="0"/>
          <w:bCs w:val="0"/>
          <w:kern w:val="0"/>
          <w:sz w:val="24"/>
          <w:szCs w:val="22"/>
          <w:u w:val="single"/>
          <w:lang w:val="en-US" w:eastAsia="zh-CN" w:bidi="ar"/>
        </w:rPr>
        <w:fldChar w:fldCharType="begin" w:fldLock="1"/>
      </w:r>
      <w:r>
        <w:rPr>
          <w:rFonts w:hint="default" w:ascii="Times New Roman" w:hAnsi="Times New Roman" w:eastAsia="Calibri" w:cs="Times New Roman"/>
          <w:b w:val="0"/>
          <w:bCs w:val="0"/>
          <w:kern w:val="0"/>
          <w:sz w:val="24"/>
          <w:szCs w:val="22"/>
          <w:u w:val="single"/>
          <w:lang w:val="en-US" w:eastAsia="zh-CN" w:bidi="ar"/>
        </w:rPr>
        <w:instrText xml:space="preserve">ADDIN Mendeley Bibliography CSL_BIBLIOGRAPHY </w:instrText>
      </w:r>
      <w:r>
        <w:rPr>
          <w:rFonts w:hint="default" w:ascii="Times New Roman" w:hAnsi="Times New Roman" w:eastAsia="Calibri" w:cs="Times New Roman"/>
          <w:b w:val="0"/>
          <w:bCs w:val="0"/>
          <w:kern w:val="0"/>
          <w:sz w:val="24"/>
          <w:szCs w:val="22"/>
          <w:u w:val="single"/>
          <w:lang w:val="en-US" w:eastAsia="zh-CN" w:bidi="ar"/>
        </w:rPr>
        <w:fldChar w:fldCharType="separate"/>
      </w:r>
      <w:r>
        <w:rPr>
          <w:rFonts w:hint="default" w:ascii="Times New Roman" w:hAnsi="Times New Roman" w:eastAsia="Calibri" w:cs="Times New Roman"/>
          <w:b w:val="0"/>
          <w:bCs w:val="0"/>
          <w:kern w:val="0"/>
          <w:sz w:val="24"/>
          <w:szCs w:val="24"/>
          <w:lang w:val="en-US" w:eastAsia="zh-CN" w:bidi="ar"/>
        </w:rPr>
        <w:t xml:space="preserve">A’yun, Qurrata. “Resepsi Al Qur an Dalam Film Hiii Serem.” </w:t>
      </w:r>
      <w:r>
        <w:rPr>
          <w:rFonts w:hint="default" w:ascii="Times New Roman" w:hAnsi="Times New Roman" w:eastAsia="Calibri" w:cs="Times New Roman"/>
          <w:b w:val="0"/>
          <w:bCs w:val="0"/>
          <w:i/>
          <w:iCs/>
          <w:kern w:val="0"/>
          <w:sz w:val="24"/>
          <w:szCs w:val="24"/>
          <w:lang w:val="en-US" w:eastAsia="zh-CN" w:bidi="ar"/>
        </w:rPr>
        <w:t>Living Islam: Journal of Islamic Discourses</w:t>
      </w:r>
      <w:r>
        <w:rPr>
          <w:rFonts w:hint="default" w:ascii="Times New Roman" w:hAnsi="Times New Roman" w:eastAsia="Calibri" w:cs="Times New Roman"/>
          <w:b w:val="0"/>
          <w:bCs w:val="0"/>
          <w:kern w:val="0"/>
          <w:sz w:val="24"/>
          <w:szCs w:val="24"/>
          <w:lang w:val="en-US" w:eastAsia="zh-CN" w:bidi="ar"/>
        </w:rPr>
        <w:t xml:space="preserve"> 3, no. 2 (2021): 319–37.</w:t>
      </w:r>
    </w:p>
    <w:p w14:paraId="67AB8BDE">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Adib, Shohibul. “Karakteristik Metode Tafsir Al-Qur’an Untuk Anak; Studi Buku Tafsir Al-Qur’an Untuk Anak-Anak Karya Afif Muhammad.” </w:t>
      </w:r>
      <w:r>
        <w:rPr>
          <w:rFonts w:hint="default" w:ascii="Times New Roman" w:hAnsi="Times New Roman" w:eastAsia="Calibri" w:cs="Times New Roman"/>
          <w:b w:val="0"/>
          <w:bCs w:val="0"/>
          <w:i/>
          <w:iCs/>
          <w:kern w:val="0"/>
          <w:sz w:val="24"/>
          <w:szCs w:val="24"/>
          <w:lang w:val="en-US" w:eastAsia="zh-CN" w:bidi="ar"/>
        </w:rPr>
        <w:t>An-Nidzam</w:t>
      </w:r>
      <w:r>
        <w:rPr>
          <w:rFonts w:hint="default" w:ascii="Times New Roman" w:hAnsi="Times New Roman" w:eastAsia="Calibri" w:cs="Times New Roman"/>
          <w:b w:val="0"/>
          <w:bCs w:val="0"/>
          <w:kern w:val="0"/>
          <w:sz w:val="24"/>
          <w:szCs w:val="24"/>
          <w:lang w:val="en-US" w:eastAsia="zh-CN" w:bidi="ar"/>
        </w:rPr>
        <w:t xml:space="preserve"> Vol 5, no. 2 (2018): 121–53.</w:t>
      </w:r>
    </w:p>
    <w:p w14:paraId="2F03049F">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Ahmad, Susanto. </w:t>
      </w:r>
      <w:r>
        <w:rPr>
          <w:rFonts w:hint="default" w:ascii="Times New Roman" w:hAnsi="Times New Roman" w:eastAsia="Calibri" w:cs="Times New Roman"/>
          <w:b w:val="0"/>
          <w:bCs w:val="0"/>
          <w:i/>
          <w:iCs/>
          <w:kern w:val="0"/>
          <w:sz w:val="24"/>
          <w:szCs w:val="24"/>
          <w:lang w:val="en-US" w:eastAsia="zh-CN" w:bidi="ar"/>
        </w:rPr>
        <w:t>Perkembangan Anak Usia Dini :Pengantar Berbai Aspeknya</w:t>
      </w:r>
      <w:r>
        <w:rPr>
          <w:rFonts w:hint="default" w:ascii="Times New Roman" w:hAnsi="Times New Roman" w:eastAsia="Calibri" w:cs="Times New Roman"/>
          <w:b w:val="0"/>
          <w:bCs w:val="0"/>
          <w:kern w:val="0"/>
          <w:sz w:val="24"/>
          <w:szCs w:val="24"/>
          <w:lang w:val="en-US" w:eastAsia="zh-CN" w:bidi="ar"/>
        </w:rPr>
        <w:t>. Jakarta: Kencana, 2011.</w:t>
      </w:r>
    </w:p>
    <w:p w14:paraId="0299CDF2">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Ahyati, Auli Ihza, Nayla Rizqiyah, and Yusuf Tri Herlambang. “Urgensi Penguatan Etika Teknologi Sebagai Upaya Preventif Terhadap Dampak Negatif Media Sosial Youtube Shorts Bagi Siswa Sekolah Dasar.” </w:t>
      </w:r>
      <w:r>
        <w:rPr>
          <w:rFonts w:hint="default" w:ascii="Times New Roman" w:hAnsi="Times New Roman" w:eastAsia="Calibri" w:cs="Times New Roman"/>
          <w:b w:val="0"/>
          <w:bCs w:val="0"/>
          <w:i/>
          <w:iCs/>
          <w:kern w:val="0"/>
          <w:sz w:val="24"/>
          <w:szCs w:val="24"/>
          <w:lang w:val="en-US" w:eastAsia="zh-CN" w:bidi="ar"/>
        </w:rPr>
        <w:t>UPGRADE : Jurnal Pendidikan Teknologi Informasi</w:t>
      </w:r>
      <w:r>
        <w:rPr>
          <w:rFonts w:hint="default" w:ascii="Times New Roman" w:hAnsi="Times New Roman" w:eastAsia="Calibri" w:cs="Times New Roman"/>
          <w:b w:val="0"/>
          <w:bCs w:val="0"/>
          <w:kern w:val="0"/>
          <w:sz w:val="24"/>
          <w:szCs w:val="24"/>
          <w:lang w:val="en-US" w:eastAsia="zh-CN" w:bidi="ar"/>
        </w:rPr>
        <w:t xml:space="preserve"> 1, no. 2 (2024): 81–89. https://doi.org/10.30812/upgrade.v1i2.3722.</w:t>
      </w:r>
    </w:p>
    <w:p w14:paraId="7E66780D">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Akbar, Indah. </w:t>
      </w:r>
      <w:r>
        <w:rPr>
          <w:rFonts w:hint="default" w:ascii="Times New Roman" w:hAnsi="Times New Roman" w:eastAsia="Calibri" w:cs="Times New Roman"/>
          <w:b w:val="0"/>
          <w:bCs w:val="0"/>
          <w:i/>
          <w:iCs/>
          <w:kern w:val="0"/>
          <w:sz w:val="24"/>
          <w:szCs w:val="24"/>
          <w:lang w:val="en-US" w:eastAsia="zh-CN" w:bidi="ar"/>
        </w:rPr>
        <w:t>Studi Kitab Tafsir</w:t>
      </w:r>
      <w:r>
        <w:rPr>
          <w:rFonts w:hint="default" w:ascii="Times New Roman" w:hAnsi="Times New Roman" w:eastAsia="Calibri" w:cs="Times New Roman"/>
          <w:b w:val="0"/>
          <w:bCs w:val="0"/>
          <w:kern w:val="0"/>
          <w:sz w:val="24"/>
          <w:szCs w:val="24"/>
          <w:lang w:val="en-US" w:eastAsia="zh-CN" w:bidi="ar"/>
        </w:rPr>
        <w:t>. Yogyakarta: Teras, 2004.</w:t>
      </w:r>
    </w:p>
    <w:p w14:paraId="7FADA725">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Al-Qattan, Mannan Khalil. </w:t>
      </w:r>
      <w:r>
        <w:rPr>
          <w:rFonts w:hint="default" w:ascii="Times New Roman" w:hAnsi="Times New Roman" w:eastAsia="Calibri" w:cs="Times New Roman"/>
          <w:b w:val="0"/>
          <w:bCs w:val="0"/>
          <w:i/>
          <w:iCs/>
          <w:kern w:val="0"/>
          <w:sz w:val="24"/>
          <w:szCs w:val="24"/>
          <w:lang w:val="en-US" w:eastAsia="zh-CN" w:bidi="ar"/>
        </w:rPr>
        <w:t>Studi Ilmu-Ilmu Al-Qur’an</w:t>
      </w:r>
      <w:r>
        <w:rPr>
          <w:rFonts w:hint="default" w:ascii="Times New Roman" w:hAnsi="Times New Roman" w:eastAsia="Calibri" w:cs="Times New Roman"/>
          <w:b w:val="0"/>
          <w:bCs w:val="0"/>
          <w:kern w:val="0"/>
          <w:sz w:val="24"/>
          <w:szCs w:val="24"/>
          <w:lang w:val="en-US" w:eastAsia="zh-CN" w:bidi="ar"/>
        </w:rPr>
        <w:t>. Bogor: Pustaka Litera Anata Nusa, 2001.</w:t>
      </w:r>
    </w:p>
    <w:p w14:paraId="764CF52A">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Al-Shabuni, Muhammad, and ’Ali. </w:t>
      </w:r>
      <w:r>
        <w:rPr>
          <w:rFonts w:hint="default" w:ascii="Times New Roman" w:hAnsi="Times New Roman" w:eastAsia="Calibri" w:cs="Times New Roman"/>
          <w:b w:val="0"/>
          <w:bCs w:val="0"/>
          <w:i/>
          <w:iCs/>
          <w:kern w:val="0"/>
          <w:sz w:val="24"/>
          <w:szCs w:val="24"/>
          <w:lang w:val="en-US" w:eastAsia="zh-CN" w:bidi="ar"/>
        </w:rPr>
        <w:t>Rawa’i Al Bayan Tafsir Al-Ahkam Min Al-Qur’an</w:t>
      </w:r>
      <w:r>
        <w:rPr>
          <w:rFonts w:hint="default" w:ascii="Times New Roman" w:hAnsi="Times New Roman" w:eastAsia="Calibri" w:cs="Times New Roman"/>
          <w:b w:val="0"/>
          <w:bCs w:val="0"/>
          <w:kern w:val="0"/>
          <w:sz w:val="24"/>
          <w:szCs w:val="24"/>
          <w:lang w:val="en-US" w:eastAsia="zh-CN" w:bidi="ar"/>
        </w:rPr>
        <w:t>. Jilid l. Kairo, n.d.</w:t>
      </w:r>
    </w:p>
    <w:p w14:paraId="793C8007">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Almira kaumala ulfa, at all. </w:t>
      </w:r>
      <w:r>
        <w:rPr>
          <w:rFonts w:hint="default" w:ascii="Times New Roman" w:hAnsi="Times New Roman" w:eastAsia="Calibri" w:cs="Times New Roman"/>
          <w:b w:val="0"/>
          <w:bCs w:val="0"/>
          <w:i/>
          <w:iCs/>
          <w:kern w:val="0"/>
          <w:sz w:val="24"/>
          <w:szCs w:val="24"/>
          <w:lang w:val="en-US" w:eastAsia="zh-CN" w:bidi="ar"/>
        </w:rPr>
        <w:t>Ragam Analisis Data Penelitian (Satra , Riset Dan Penegmbangan)</w:t>
      </w:r>
      <w:r>
        <w:rPr>
          <w:rFonts w:hint="default" w:ascii="Times New Roman" w:hAnsi="Times New Roman" w:eastAsia="Calibri" w:cs="Times New Roman"/>
          <w:b w:val="0"/>
          <w:bCs w:val="0"/>
          <w:kern w:val="0"/>
          <w:sz w:val="24"/>
          <w:szCs w:val="24"/>
          <w:lang w:val="en-US" w:eastAsia="zh-CN" w:bidi="ar"/>
        </w:rPr>
        <w:t>. Madura: IAIN Madura Press, 2022.</w:t>
      </w:r>
    </w:p>
    <w:p w14:paraId="4C4F74BF">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Alshaik, Subhik. “Tafsir Al-Quran Untuk Anak-Anak - Surat Al-Lahab.” One4kids, 2019. https://youtu.be/ObePuPnPcJY?si=LeeHikc96drGwMxN.</w:t>
      </w:r>
    </w:p>
    <w:p w14:paraId="453F5AF3">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eastAsia="Calibri" w:cs="Times New Roman"/>
          <w:b w:val="0"/>
          <w:bCs w:val="0"/>
          <w:kern w:val="0"/>
          <w:sz w:val="24"/>
          <w:szCs w:val="24"/>
          <w:lang w:val="en-US" w:eastAsia="zh-CN" w:bidi="ar"/>
        </w:rPr>
        <w:sectPr>
          <w:headerReference r:id="rId7" w:type="default"/>
          <w:footerReference r:id="rId8" w:type="default"/>
          <w:pgSz w:w="11910" w:h="16840"/>
          <w:pgMar w:top="2268" w:right="1701" w:bottom="2268" w:left="1701" w:header="720" w:footer="720" w:gutter="0"/>
          <w:pgNumType w:fmt="decimal" w:chapStyle="1"/>
          <w:cols w:space="0" w:num="1"/>
          <w:titlePg/>
          <w:rtlGutter w:val="0"/>
          <w:docGrid w:linePitch="360" w:charSpace="0"/>
        </w:sectPr>
      </w:pPr>
    </w:p>
    <w:p w14:paraId="38698F05">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Andi Subhan Amir Fatty Faiqah, Muh. Nadjib. “Youtube Sebagai Sarana Komunikasi Bagi Komunitas Makassarvidgram.” </w:t>
      </w:r>
      <w:r>
        <w:rPr>
          <w:rFonts w:hint="default" w:ascii="Times New Roman" w:hAnsi="Times New Roman" w:eastAsia="Calibri" w:cs="Times New Roman"/>
          <w:b w:val="0"/>
          <w:bCs w:val="0"/>
          <w:i/>
          <w:iCs/>
          <w:kern w:val="0"/>
          <w:sz w:val="24"/>
          <w:szCs w:val="24"/>
          <w:lang w:val="en-US" w:eastAsia="zh-CN" w:bidi="ar"/>
        </w:rPr>
        <w:t>Jurnal Komunikasi</w:t>
      </w:r>
      <w:r>
        <w:rPr>
          <w:rFonts w:hint="default" w:ascii="Times New Roman" w:hAnsi="Times New Roman" w:eastAsia="Calibri" w:cs="Times New Roman"/>
          <w:b w:val="0"/>
          <w:bCs w:val="0"/>
          <w:kern w:val="0"/>
          <w:sz w:val="24"/>
          <w:szCs w:val="24"/>
          <w:lang w:val="en-US" w:eastAsia="zh-CN" w:bidi="ar"/>
        </w:rPr>
        <w:t xml:space="preserve"> 5, no. 2 (2016).</w:t>
      </w:r>
    </w:p>
    <w:p w14:paraId="5B1E9DD0">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Andrasari, Nurani Ani. “Media Pembelajaran Video Animasi Berbasis Kinemaster Bagi Guru Sd.” </w:t>
      </w:r>
      <w:r>
        <w:rPr>
          <w:rFonts w:hint="default" w:ascii="Times New Roman" w:hAnsi="Times New Roman" w:eastAsia="Calibri" w:cs="Times New Roman"/>
          <w:b w:val="0"/>
          <w:bCs w:val="0"/>
          <w:i/>
          <w:iCs/>
          <w:kern w:val="0"/>
          <w:sz w:val="24"/>
          <w:szCs w:val="24"/>
          <w:lang w:val="en-US" w:eastAsia="zh-CN" w:bidi="ar"/>
        </w:rPr>
        <w:t>Jurnal Kajian Pendidikan Dasar</w:t>
      </w:r>
      <w:r>
        <w:rPr>
          <w:rFonts w:hint="default" w:ascii="Times New Roman" w:hAnsi="Times New Roman" w:eastAsia="Calibri" w:cs="Times New Roman"/>
          <w:b w:val="0"/>
          <w:bCs w:val="0"/>
          <w:kern w:val="0"/>
          <w:sz w:val="24"/>
          <w:szCs w:val="24"/>
          <w:lang w:val="en-US" w:eastAsia="zh-CN" w:bidi="ar"/>
        </w:rPr>
        <w:t xml:space="preserve"> 7, no. 1 (2022): 36–44.</w:t>
      </w:r>
    </w:p>
    <w:p w14:paraId="13FE54EF">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Arif Hariyanto, and Aditya Putra. “KONTEN KREATOR YOUTUBE SEBAGAI SUMBER PENGHASILAN (Telaah Kritis Hukum Ekonomi Syari’ah).” </w:t>
      </w:r>
      <w:r>
        <w:rPr>
          <w:rFonts w:hint="default" w:ascii="Times New Roman" w:hAnsi="Times New Roman" w:eastAsia="Calibri" w:cs="Times New Roman"/>
          <w:b w:val="0"/>
          <w:bCs w:val="0"/>
          <w:i/>
          <w:iCs/>
          <w:kern w:val="0"/>
          <w:sz w:val="24"/>
          <w:szCs w:val="24"/>
          <w:lang w:val="en-US" w:eastAsia="zh-CN" w:bidi="ar"/>
        </w:rPr>
        <w:t>Al-Hukmi : Jurnal Hukum Ekonomi Syariah Dan Keluarga Islam</w:t>
      </w:r>
      <w:r>
        <w:rPr>
          <w:rFonts w:hint="default" w:ascii="Times New Roman" w:hAnsi="Times New Roman" w:eastAsia="Calibri" w:cs="Times New Roman"/>
          <w:b w:val="0"/>
          <w:bCs w:val="0"/>
          <w:kern w:val="0"/>
          <w:sz w:val="24"/>
          <w:szCs w:val="24"/>
          <w:lang w:val="en-US" w:eastAsia="zh-CN" w:bidi="ar"/>
        </w:rPr>
        <w:t xml:space="preserve"> 3, no. 2 (2022): 243–62. https://doi.org/10.35316/alhukmi.v3i2.2325.</w:t>
      </w:r>
    </w:p>
    <w:p w14:paraId="1AF4D591">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Azhar, Naufalya Nur, Tita Elisa, and Setia Mulyawan. “Meningkatkan Kemampuan Membaca Dan Menulis Al- Qur ’ an Pada Anak Usia Dini Di Masa Pandemi.” </w:t>
      </w:r>
      <w:r>
        <w:rPr>
          <w:rFonts w:hint="default" w:ascii="Times New Roman" w:hAnsi="Times New Roman" w:eastAsia="Calibri" w:cs="Times New Roman"/>
          <w:b w:val="0"/>
          <w:bCs w:val="0"/>
          <w:i/>
          <w:iCs/>
          <w:kern w:val="0"/>
          <w:sz w:val="24"/>
          <w:szCs w:val="24"/>
          <w:lang w:val="en-US" w:eastAsia="zh-CN" w:bidi="ar"/>
        </w:rPr>
        <w:t>Proceedings</w:t>
      </w:r>
      <w:r>
        <w:rPr>
          <w:rFonts w:hint="default" w:ascii="Times New Roman" w:hAnsi="Times New Roman" w:eastAsia="Calibri" w:cs="Times New Roman"/>
          <w:b w:val="0"/>
          <w:bCs w:val="0"/>
          <w:kern w:val="0"/>
          <w:sz w:val="24"/>
          <w:szCs w:val="24"/>
          <w:lang w:val="en-US" w:eastAsia="zh-CN" w:bidi="ar"/>
        </w:rPr>
        <w:t xml:space="preserve"> 14, no. November (2021): 79.</w:t>
      </w:r>
    </w:p>
    <w:p w14:paraId="5CCF885A">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Badan Pusat Statistik (BPS). “Sensus Penduduk 2010.” Badan Pusat Statistik, 2010. https://sensus.bps.go.id/main/index/sp2010.</w:t>
      </w:r>
    </w:p>
    <w:p w14:paraId="5E265B0D">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BPS Indonesia, Statistik Indonesia. </w:t>
      </w:r>
      <w:r>
        <w:rPr>
          <w:rFonts w:hint="default" w:ascii="Times New Roman" w:hAnsi="Times New Roman" w:eastAsia="Calibri" w:cs="Times New Roman"/>
          <w:b w:val="0"/>
          <w:bCs w:val="0"/>
          <w:i/>
          <w:iCs/>
          <w:kern w:val="0"/>
          <w:sz w:val="24"/>
          <w:szCs w:val="24"/>
          <w:lang w:val="en-US" w:eastAsia="zh-CN" w:bidi="ar"/>
        </w:rPr>
        <w:t>STATISTIK INDONESIA 2020 (Statistical Yearbook Of Indonesia )</w:t>
      </w:r>
      <w:r>
        <w:rPr>
          <w:rFonts w:hint="default" w:ascii="Times New Roman" w:hAnsi="Times New Roman" w:eastAsia="Calibri" w:cs="Times New Roman"/>
          <w:b w:val="0"/>
          <w:bCs w:val="0"/>
          <w:kern w:val="0"/>
          <w:sz w:val="24"/>
          <w:szCs w:val="24"/>
          <w:lang w:val="en-US" w:eastAsia="zh-CN" w:bidi="ar"/>
        </w:rPr>
        <w:t xml:space="preserve">. </w:t>
      </w:r>
      <w:r>
        <w:rPr>
          <w:rFonts w:hint="default" w:ascii="Times New Roman" w:hAnsi="Times New Roman" w:eastAsia="Calibri" w:cs="Times New Roman"/>
          <w:b w:val="0"/>
          <w:bCs w:val="0"/>
          <w:i/>
          <w:iCs/>
          <w:kern w:val="0"/>
          <w:sz w:val="24"/>
          <w:szCs w:val="24"/>
          <w:lang w:val="en-US" w:eastAsia="zh-CN" w:bidi="ar"/>
        </w:rPr>
        <w:t>Badan Pusat Statistik</w:t>
      </w:r>
      <w:r>
        <w:rPr>
          <w:rFonts w:hint="default" w:ascii="Times New Roman" w:hAnsi="Times New Roman" w:eastAsia="Calibri" w:cs="Times New Roman"/>
          <w:b w:val="0"/>
          <w:bCs w:val="0"/>
          <w:kern w:val="0"/>
          <w:sz w:val="24"/>
          <w:szCs w:val="24"/>
          <w:lang w:val="en-US" w:eastAsia="zh-CN" w:bidi="ar"/>
        </w:rPr>
        <w:t>. Jakarta, 2023.</w:t>
      </w:r>
    </w:p>
    <w:p w14:paraId="41F5C421">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Darmiyati, zuchdi dan Wiwiek Afifah. </w:t>
      </w:r>
      <w:r>
        <w:rPr>
          <w:rFonts w:hint="default" w:ascii="Times New Roman" w:hAnsi="Times New Roman" w:eastAsia="Calibri" w:cs="Times New Roman"/>
          <w:b w:val="0"/>
          <w:bCs w:val="0"/>
          <w:i/>
          <w:iCs/>
          <w:kern w:val="0"/>
          <w:sz w:val="24"/>
          <w:szCs w:val="24"/>
          <w:lang w:val="en-US" w:eastAsia="zh-CN" w:bidi="ar"/>
        </w:rPr>
        <w:t>Analisis Konten Etnografi &amp; Graunded Theory, Dan Hermeneutika Dalam Penelitian</w:t>
      </w:r>
      <w:r>
        <w:rPr>
          <w:rFonts w:hint="default" w:ascii="Times New Roman" w:hAnsi="Times New Roman" w:eastAsia="Calibri" w:cs="Times New Roman"/>
          <w:b w:val="0"/>
          <w:bCs w:val="0"/>
          <w:kern w:val="0"/>
          <w:sz w:val="24"/>
          <w:szCs w:val="24"/>
          <w:lang w:val="en-US" w:eastAsia="zh-CN" w:bidi="ar"/>
        </w:rPr>
        <w:t>. Jakarta: PT. Bumu Aksara, 2019.</w:t>
      </w:r>
    </w:p>
    <w:p w14:paraId="6FEB06BB">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Fadhli, Muhibuddin. “Pengembangan Media Pembelajaran Berbasis Video Kelas Iv Sekolah Dasar.” </w:t>
      </w:r>
      <w:r>
        <w:rPr>
          <w:rFonts w:hint="default" w:ascii="Times New Roman" w:hAnsi="Times New Roman" w:eastAsia="Calibri" w:cs="Times New Roman"/>
          <w:b w:val="0"/>
          <w:bCs w:val="0"/>
          <w:i/>
          <w:iCs/>
          <w:kern w:val="0"/>
          <w:sz w:val="24"/>
          <w:szCs w:val="24"/>
          <w:lang w:val="en-US" w:eastAsia="zh-CN" w:bidi="ar"/>
        </w:rPr>
        <w:t>Jurnal Dimensi Pendidikan Dan Pembelajaran</w:t>
      </w:r>
      <w:r>
        <w:rPr>
          <w:rFonts w:hint="default" w:ascii="Times New Roman" w:hAnsi="Times New Roman" w:eastAsia="Calibri" w:cs="Times New Roman"/>
          <w:b w:val="0"/>
          <w:bCs w:val="0"/>
          <w:kern w:val="0"/>
          <w:sz w:val="24"/>
          <w:szCs w:val="24"/>
          <w:lang w:val="en-US" w:eastAsia="zh-CN" w:bidi="ar"/>
        </w:rPr>
        <w:t xml:space="preserve"> 3, no. 1 (2015): 24–29. https://doi.org/10.24269/dpp.v3i1.157.</w:t>
      </w:r>
    </w:p>
    <w:p w14:paraId="0AFCDF91">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Fajriah, Ecky Nurul, and Ria Tristina Dayu. </w:t>
      </w:r>
      <w:r>
        <w:rPr>
          <w:rFonts w:hint="default" w:ascii="Times New Roman" w:hAnsi="Times New Roman" w:eastAsia="Calibri" w:cs="Times New Roman"/>
          <w:b w:val="0"/>
          <w:bCs w:val="0"/>
          <w:i/>
          <w:iCs/>
          <w:kern w:val="0"/>
          <w:sz w:val="24"/>
          <w:szCs w:val="24"/>
          <w:lang w:val="en-US" w:eastAsia="zh-CN" w:bidi="ar"/>
        </w:rPr>
        <w:t>Wajah Media Sosoial Di Bengkulu</w:t>
      </w:r>
      <w:r>
        <w:rPr>
          <w:rFonts w:hint="default" w:ascii="Times New Roman" w:hAnsi="Times New Roman" w:eastAsia="Calibri" w:cs="Times New Roman"/>
          <w:b w:val="0"/>
          <w:bCs w:val="0"/>
          <w:kern w:val="0"/>
          <w:sz w:val="24"/>
          <w:szCs w:val="24"/>
          <w:lang w:val="en-US" w:eastAsia="zh-CN" w:bidi="ar"/>
        </w:rPr>
        <w:t>. Bengkulu: Pertelon, 2013.</w:t>
      </w:r>
    </w:p>
    <w:p w14:paraId="26DC37FF">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Haris Herdinansyah. </w:t>
      </w:r>
      <w:r>
        <w:rPr>
          <w:rFonts w:hint="default" w:ascii="Times New Roman" w:hAnsi="Times New Roman" w:eastAsia="Calibri" w:cs="Times New Roman"/>
          <w:b w:val="0"/>
          <w:bCs w:val="0"/>
          <w:i/>
          <w:iCs/>
          <w:kern w:val="0"/>
          <w:sz w:val="24"/>
          <w:szCs w:val="24"/>
          <w:lang w:val="en-US" w:eastAsia="zh-CN" w:bidi="ar"/>
        </w:rPr>
        <w:t>Metode Penelitian Kualitatif</w:t>
      </w:r>
      <w:r>
        <w:rPr>
          <w:rFonts w:hint="default" w:ascii="Times New Roman" w:hAnsi="Times New Roman" w:eastAsia="Calibri" w:cs="Times New Roman"/>
          <w:b w:val="0"/>
          <w:bCs w:val="0"/>
          <w:kern w:val="0"/>
          <w:sz w:val="24"/>
          <w:szCs w:val="24"/>
          <w:lang w:val="en-US" w:eastAsia="zh-CN" w:bidi="ar"/>
        </w:rPr>
        <w:t>. Jakarta: Selemba HUmanika, 2012.</w:t>
      </w:r>
    </w:p>
    <w:p w14:paraId="3162357C">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Hasmira, Anwar, and Muh Yusuf. “Penggunaan Media Pembelajaran Video Animasi Untuk Meningkatkan Hasil Belajar PKN Pada Siswa Kelas IV Di SD Negeri 1 Ngapa.” </w:t>
      </w:r>
      <w:r>
        <w:rPr>
          <w:rFonts w:hint="default" w:ascii="Times New Roman" w:hAnsi="Times New Roman" w:eastAsia="Calibri" w:cs="Times New Roman"/>
          <w:b w:val="0"/>
          <w:bCs w:val="0"/>
          <w:i/>
          <w:iCs/>
          <w:kern w:val="0"/>
          <w:sz w:val="24"/>
          <w:szCs w:val="24"/>
          <w:lang w:val="en-US" w:eastAsia="zh-CN" w:bidi="ar"/>
        </w:rPr>
        <w:t>Jurnal Wahana Kajian Pendidikan IPS</w:t>
      </w:r>
      <w:r>
        <w:rPr>
          <w:rFonts w:hint="default" w:ascii="Times New Roman" w:hAnsi="Times New Roman" w:eastAsia="Calibri" w:cs="Times New Roman"/>
          <w:b w:val="0"/>
          <w:bCs w:val="0"/>
          <w:kern w:val="0"/>
          <w:sz w:val="24"/>
          <w:szCs w:val="24"/>
          <w:lang w:val="en-US" w:eastAsia="zh-CN" w:bidi="ar"/>
        </w:rPr>
        <w:t xml:space="preserve"> 1, no. 2 (2017): 128–37. https://doi.org/10.33772.</w:t>
      </w:r>
    </w:p>
    <w:p w14:paraId="0C8B5AF5">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Hayati, Ridha. “Metode Hermeneutik Dan Aplikasi Dalam Penafsiran Alquran.” </w:t>
      </w:r>
      <w:r>
        <w:rPr>
          <w:rFonts w:hint="default" w:ascii="Times New Roman" w:hAnsi="Times New Roman" w:eastAsia="Calibri" w:cs="Times New Roman"/>
          <w:b w:val="0"/>
          <w:bCs w:val="0"/>
          <w:i/>
          <w:iCs/>
          <w:kern w:val="0"/>
          <w:sz w:val="24"/>
          <w:szCs w:val="24"/>
          <w:lang w:val="en-US" w:eastAsia="zh-CN" w:bidi="ar"/>
        </w:rPr>
        <w:t>Syahadah</w:t>
      </w:r>
      <w:r>
        <w:rPr>
          <w:rFonts w:hint="default" w:ascii="Times New Roman" w:hAnsi="Times New Roman" w:eastAsia="Calibri" w:cs="Times New Roman"/>
          <w:b w:val="0"/>
          <w:bCs w:val="0"/>
          <w:kern w:val="0"/>
          <w:sz w:val="24"/>
          <w:szCs w:val="24"/>
          <w:lang w:val="en-US" w:eastAsia="zh-CN" w:bidi="ar"/>
        </w:rPr>
        <w:t xml:space="preserve"> 7, no. 1 (2019).</w:t>
      </w:r>
    </w:p>
    <w:p w14:paraId="4B006535">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Ilyas, Yunahar. “Kuliah ’Ulumul Qur’an, Al-Riwayah,” 2023.</w:t>
      </w:r>
    </w:p>
    <w:p w14:paraId="6458E204">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Indonesia, VOA. “YouTube Tutup Kolom Komentar Pada Video Anak-Anak.” VOA Indonesia, 2019. https://www.voaindonesia.com/a/youtube-tutup-kolom-komentar-pada-video-anak-anak/4809097.html.</w:t>
      </w:r>
    </w:p>
    <w:p w14:paraId="4272ADCE">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IRFAN TAUFAN ASFAR. “ANALISIS NARATIF, ANALISIS KONTEN, DAN ANALISIS SEMIOTIK (Penelitian Kualitatif).” </w:t>
      </w:r>
      <w:r>
        <w:rPr>
          <w:rFonts w:hint="default" w:ascii="Times New Roman" w:hAnsi="Times New Roman" w:eastAsia="Calibri" w:cs="Times New Roman"/>
          <w:b w:val="0"/>
          <w:bCs w:val="0"/>
          <w:i/>
          <w:iCs/>
          <w:kern w:val="0"/>
          <w:sz w:val="24"/>
          <w:szCs w:val="24"/>
          <w:lang w:val="en-US" w:eastAsia="zh-CN" w:bidi="ar"/>
        </w:rPr>
        <w:t>Penelitain Kualitatif</w:t>
      </w:r>
      <w:r>
        <w:rPr>
          <w:rFonts w:hint="default" w:ascii="Times New Roman" w:hAnsi="Times New Roman" w:eastAsia="Calibri" w:cs="Times New Roman"/>
          <w:b w:val="0"/>
          <w:bCs w:val="0"/>
          <w:kern w:val="0"/>
          <w:sz w:val="24"/>
          <w:szCs w:val="24"/>
          <w:lang w:val="en-US" w:eastAsia="zh-CN" w:bidi="ar"/>
        </w:rPr>
        <w:t xml:space="preserve"> 1, no. 13 (2019): 13. https://doi.org/10.13140/RG.2.2.21963.41767.</w:t>
      </w:r>
    </w:p>
    <w:p w14:paraId="537D63B7">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Johari, Andriana, Syamsuri Hasan, and Maman Rakhman. “Penerapan Media Video Dan Animasi Pada Materi Memvakum Dan Mengisi Refrigeran Terhadap Hasil Belajar Siswa.” </w:t>
      </w:r>
      <w:r>
        <w:rPr>
          <w:rFonts w:hint="default" w:ascii="Times New Roman" w:hAnsi="Times New Roman" w:eastAsia="Calibri" w:cs="Times New Roman"/>
          <w:b w:val="0"/>
          <w:bCs w:val="0"/>
          <w:i/>
          <w:iCs/>
          <w:kern w:val="0"/>
          <w:sz w:val="24"/>
          <w:szCs w:val="24"/>
          <w:lang w:val="en-US" w:eastAsia="zh-CN" w:bidi="ar"/>
        </w:rPr>
        <w:t>Journal of Mechanical Engineering Education</w:t>
      </w:r>
      <w:r>
        <w:rPr>
          <w:rFonts w:hint="default" w:ascii="Times New Roman" w:hAnsi="Times New Roman" w:eastAsia="Calibri" w:cs="Times New Roman"/>
          <w:b w:val="0"/>
          <w:bCs w:val="0"/>
          <w:kern w:val="0"/>
          <w:sz w:val="24"/>
          <w:szCs w:val="24"/>
          <w:lang w:val="en-US" w:eastAsia="zh-CN" w:bidi="ar"/>
        </w:rPr>
        <w:t xml:space="preserve"> 1, no. 1 (2016): 8. https://doi.org/10.17509/jmee.v1i1.3731.</w:t>
      </w:r>
    </w:p>
    <w:p w14:paraId="77072FEB">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Keraf, Goyrs. </w:t>
      </w:r>
      <w:r>
        <w:rPr>
          <w:rFonts w:hint="default" w:ascii="Times New Roman" w:hAnsi="Times New Roman" w:eastAsia="Calibri" w:cs="Times New Roman"/>
          <w:b w:val="0"/>
          <w:bCs w:val="0"/>
          <w:i/>
          <w:iCs/>
          <w:kern w:val="0"/>
          <w:sz w:val="24"/>
          <w:szCs w:val="24"/>
          <w:lang w:val="en-US" w:eastAsia="zh-CN" w:bidi="ar"/>
        </w:rPr>
        <w:t>Diksi Dan Bahasa</w:t>
      </w:r>
      <w:r>
        <w:rPr>
          <w:rFonts w:hint="default" w:ascii="Times New Roman" w:hAnsi="Times New Roman" w:eastAsia="Calibri" w:cs="Times New Roman"/>
          <w:b w:val="0"/>
          <w:bCs w:val="0"/>
          <w:kern w:val="0"/>
          <w:sz w:val="24"/>
          <w:szCs w:val="24"/>
          <w:lang w:val="en-US" w:eastAsia="zh-CN" w:bidi="ar"/>
        </w:rPr>
        <w:t>. Cetakan 7. Jakrta: PT Gramedia Pustaka Utam a, 1991.</w:t>
      </w:r>
    </w:p>
    <w:p w14:paraId="05C508AD">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Lase, Amalia. “RESEPSI AL-QUR ’ AN TERKAIT TEOLOGI DI MEDIA SOSIAL : YOU TUBE PADA CHANEL YUFID KIDS” 10, no. 2 (2024): 19–36.</w:t>
      </w:r>
    </w:p>
    <w:p w14:paraId="763B76EE">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M. Hasbi Ash-Shiddqy. </w:t>
      </w:r>
      <w:r>
        <w:rPr>
          <w:rFonts w:hint="default" w:ascii="Times New Roman" w:hAnsi="Times New Roman" w:eastAsia="Calibri" w:cs="Times New Roman"/>
          <w:b w:val="0"/>
          <w:bCs w:val="0"/>
          <w:i/>
          <w:iCs/>
          <w:kern w:val="0"/>
          <w:sz w:val="24"/>
          <w:szCs w:val="24"/>
          <w:lang w:val="en-US" w:eastAsia="zh-CN" w:bidi="ar"/>
        </w:rPr>
        <w:t>Sejarah Dan Pengantar Ilmu Hadits</w:t>
      </w:r>
      <w:r>
        <w:rPr>
          <w:rFonts w:hint="default" w:ascii="Times New Roman" w:hAnsi="Times New Roman" w:eastAsia="Calibri" w:cs="Times New Roman"/>
          <w:b w:val="0"/>
          <w:bCs w:val="0"/>
          <w:kern w:val="0"/>
          <w:sz w:val="24"/>
          <w:szCs w:val="24"/>
          <w:lang w:val="en-US" w:eastAsia="zh-CN" w:bidi="ar"/>
        </w:rPr>
        <w:t>. Jakarta: Bulan Bintang, 1987.</w:t>
      </w:r>
    </w:p>
    <w:p w14:paraId="5EB02142">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Maharani, Asita Salsabilla, Mahardika Darmawan, Kusuma Wardana, and Universitas Muhammadiyah Sidoarjo. “Youtube Kids : Solusi Mengurangi Pengaruh Negatif Pada Youtube Bagi Siswa Sekolah Dasar Else ( Elementary School Education” 7, no. 1 (2023).</w:t>
      </w:r>
    </w:p>
    <w:p w14:paraId="641B771D">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Makhmudah, Siti. </w:t>
      </w:r>
      <w:r>
        <w:rPr>
          <w:rFonts w:hint="default" w:ascii="Times New Roman" w:hAnsi="Times New Roman" w:eastAsia="Calibri" w:cs="Times New Roman"/>
          <w:b w:val="0"/>
          <w:bCs w:val="0"/>
          <w:i/>
          <w:iCs/>
          <w:kern w:val="0"/>
          <w:sz w:val="24"/>
          <w:szCs w:val="24"/>
          <w:lang w:val="en-US" w:eastAsia="zh-CN" w:bidi="ar"/>
        </w:rPr>
        <w:t>Media Sosial Dan Dampaknya Pada Perilaku Keagamaan Remaja</w:t>
      </w:r>
      <w:r>
        <w:rPr>
          <w:rFonts w:hint="default" w:ascii="Times New Roman" w:hAnsi="Times New Roman" w:eastAsia="Calibri" w:cs="Times New Roman"/>
          <w:b w:val="0"/>
          <w:bCs w:val="0"/>
          <w:kern w:val="0"/>
          <w:sz w:val="24"/>
          <w:szCs w:val="24"/>
          <w:lang w:val="en-US" w:eastAsia="zh-CN" w:bidi="ar"/>
        </w:rPr>
        <w:t xml:space="preserve">. </w:t>
      </w:r>
      <w:r>
        <w:rPr>
          <w:rFonts w:hint="default" w:ascii="Times New Roman" w:hAnsi="Times New Roman" w:eastAsia="Calibri" w:cs="Times New Roman"/>
          <w:b w:val="0"/>
          <w:bCs w:val="0"/>
          <w:i/>
          <w:iCs/>
          <w:kern w:val="0"/>
          <w:sz w:val="24"/>
          <w:szCs w:val="24"/>
          <w:lang w:val="en-US" w:eastAsia="zh-CN" w:bidi="ar"/>
        </w:rPr>
        <w:t>Medsos Dan Dampaknya Pada Perilaku Keagamaan</w:t>
      </w:r>
      <w:r>
        <w:rPr>
          <w:rFonts w:hint="default" w:ascii="Times New Roman" w:hAnsi="Times New Roman" w:eastAsia="Calibri" w:cs="Times New Roman"/>
          <w:b w:val="0"/>
          <w:bCs w:val="0"/>
          <w:kern w:val="0"/>
          <w:sz w:val="24"/>
          <w:szCs w:val="24"/>
          <w:lang w:val="en-US" w:eastAsia="zh-CN" w:bidi="ar"/>
        </w:rPr>
        <w:t>. Bogor: Geupedia, 2019.</w:t>
      </w:r>
    </w:p>
    <w:p w14:paraId="09618B05">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Mamat, Zaenuddin, and Yayan Nurbayan. “Pengantar Ilmu Bhalaghah.” </w:t>
      </w:r>
      <w:r>
        <w:rPr>
          <w:rFonts w:hint="default" w:ascii="Times New Roman" w:hAnsi="Times New Roman" w:eastAsia="Calibri" w:cs="Times New Roman"/>
          <w:b w:val="0"/>
          <w:bCs w:val="0"/>
          <w:i/>
          <w:iCs/>
          <w:kern w:val="0"/>
          <w:sz w:val="24"/>
          <w:szCs w:val="24"/>
          <w:lang w:val="en-US" w:eastAsia="zh-CN" w:bidi="ar"/>
        </w:rPr>
        <w:t>Refika Adutama</w:t>
      </w:r>
      <w:r>
        <w:rPr>
          <w:rFonts w:hint="default" w:ascii="Times New Roman" w:hAnsi="Times New Roman" w:eastAsia="Calibri" w:cs="Times New Roman"/>
          <w:b w:val="0"/>
          <w:bCs w:val="0"/>
          <w:kern w:val="0"/>
          <w:sz w:val="24"/>
          <w:szCs w:val="24"/>
          <w:lang w:val="en-US" w:eastAsia="zh-CN" w:bidi="ar"/>
        </w:rPr>
        <w:t xml:space="preserve"> 1, no. 1 (2007): 15–19.</w:t>
      </w:r>
    </w:p>
    <w:p w14:paraId="549AB49E">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eastAsia="Calibri" w:cs="Times New Roman"/>
          <w:b w:val="0"/>
          <w:bCs w:val="0"/>
          <w:kern w:val="0"/>
          <w:sz w:val="24"/>
          <w:szCs w:val="24"/>
          <w:lang w:val="en-US" w:eastAsia="zh-CN" w:bidi="ar"/>
        </w:rPr>
      </w:pPr>
      <w:r>
        <w:rPr>
          <w:rFonts w:hint="default" w:ascii="Times New Roman" w:hAnsi="Times New Roman" w:eastAsia="Calibri" w:cs="Times New Roman"/>
          <w:b w:val="0"/>
          <w:bCs w:val="0"/>
          <w:kern w:val="0"/>
          <w:sz w:val="24"/>
          <w:szCs w:val="24"/>
          <w:lang w:val="en-US" w:eastAsia="zh-CN" w:bidi="ar"/>
        </w:rPr>
        <w:t xml:space="preserve">Mashuri, Delila Khoiriyah. “Pengembangan Media Pembelajaran Video Animasi Untuk Sekolah Dasar Kelas V.” </w:t>
      </w:r>
      <w:r>
        <w:rPr>
          <w:rFonts w:hint="default" w:ascii="Times New Roman" w:hAnsi="Times New Roman" w:eastAsia="Calibri" w:cs="Times New Roman"/>
          <w:b w:val="0"/>
          <w:bCs w:val="0"/>
          <w:i/>
          <w:iCs/>
          <w:kern w:val="0"/>
          <w:sz w:val="24"/>
          <w:szCs w:val="24"/>
          <w:lang w:val="en-US" w:eastAsia="zh-CN" w:bidi="ar"/>
        </w:rPr>
        <w:t>Jpgsd</w:t>
      </w:r>
      <w:r>
        <w:rPr>
          <w:rFonts w:hint="default" w:ascii="Times New Roman" w:hAnsi="Times New Roman" w:eastAsia="Calibri" w:cs="Times New Roman"/>
          <w:b w:val="0"/>
          <w:bCs w:val="0"/>
          <w:kern w:val="0"/>
          <w:sz w:val="24"/>
          <w:szCs w:val="24"/>
          <w:lang w:val="en-US" w:eastAsia="zh-CN" w:bidi="ar"/>
        </w:rPr>
        <w:t xml:space="preserve"> 08, no. 05 (2020): 893–903.</w:t>
      </w:r>
    </w:p>
    <w:p w14:paraId="52E28411">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eastAsia="Calibri" w:cs="Times New Roman"/>
          <w:b w:val="0"/>
          <w:bCs w:val="0"/>
          <w:kern w:val="0"/>
          <w:sz w:val="24"/>
          <w:szCs w:val="24"/>
          <w:lang w:val="en-US" w:eastAsia="zh-CN" w:bidi="ar"/>
        </w:rPr>
      </w:pPr>
      <w:r>
        <w:rPr>
          <w:rFonts w:hint="default" w:ascii="Times New Roman" w:hAnsi="Times New Roman" w:eastAsia="Calibri"/>
          <w:b w:val="0"/>
          <w:bCs w:val="0"/>
          <w:kern w:val="0"/>
          <w:sz w:val="24"/>
          <w:szCs w:val="24"/>
          <w:lang w:val="en-US" w:eastAsia="zh-CN"/>
        </w:rPr>
        <w:t>Media, Social Blade. “One4kids.” https://socialblade.com/, 2024. https://socialblade.com/youtube/channel/UC5vfWTTPnKdFp-</w:t>
      </w:r>
    </w:p>
    <w:p w14:paraId="58348364">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Moh. Azwar Hairul. “Tafsir Al-Qur’an Di Youtube.” </w:t>
      </w:r>
      <w:r>
        <w:rPr>
          <w:rFonts w:hint="default" w:ascii="Times New Roman" w:hAnsi="Times New Roman" w:eastAsia="Calibri" w:cs="Times New Roman"/>
          <w:b w:val="0"/>
          <w:bCs w:val="0"/>
          <w:i/>
          <w:iCs/>
          <w:kern w:val="0"/>
          <w:sz w:val="24"/>
          <w:szCs w:val="24"/>
          <w:lang w:val="en-US" w:eastAsia="zh-CN" w:bidi="ar"/>
        </w:rPr>
        <w:t>Jurnal Al-Fanar</w:t>
      </w:r>
      <w:r>
        <w:rPr>
          <w:rFonts w:hint="default" w:ascii="Times New Roman" w:hAnsi="Times New Roman" w:eastAsia="Calibri" w:cs="Times New Roman"/>
          <w:b w:val="0"/>
          <w:bCs w:val="0"/>
          <w:kern w:val="0"/>
          <w:sz w:val="24"/>
          <w:szCs w:val="24"/>
          <w:lang w:val="en-US" w:eastAsia="zh-CN" w:bidi="ar"/>
        </w:rPr>
        <w:t xml:space="preserve"> 2, no. 2 (2020): 197–213. https://doi.org/10.33511/alfanar.v2n2.197-213.</w:t>
      </w:r>
    </w:p>
    <w:p w14:paraId="14778A00">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Mu’min, Ma’mun. </w:t>
      </w:r>
      <w:r>
        <w:rPr>
          <w:rFonts w:hint="default" w:ascii="Times New Roman" w:hAnsi="Times New Roman" w:eastAsia="Calibri" w:cs="Times New Roman"/>
          <w:b w:val="0"/>
          <w:bCs w:val="0"/>
          <w:i/>
          <w:iCs/>
          <w:kern w:val="0"/>
          <w:sz w:val="24"/>
          <w:szCs w:val="24"/>
          <w:lang w:val="en-US" w:eastAsia="zh-CN" w:bidi="ar"/>
        </w:rPr>
        <w:t>Metodologi Ilmu Tafsir</w:t>
      </w:r>
      <w:r>
        <w:rPr>
          <w:rFonts w:hint="default" w:ascii="Times New Roman" w:hAnsi="Times New Roman" w:eastAsia="Calibri" w:cs="Times New Roman"/>
          <w:b w:val="0"/>
          <w:bCs w:val="0"/>
          <w:kern w:val="0"/>
          <w:sz w:val="24"/>
          <w:szCs w:val="24"/>
          <w:lang w:val="en-US" w:eastAsia="zh-CN" w:bidi="ar"/>
        </w:rPr>
        <w:t xml:space="preserve">. </w:t>
      </w:r>
      <w:r>
        <w:rPr>
          <w:rFonts w:hint="default" w:ascii="Times New Roman" w:hAnsi="Times New Roman" w:eastAsia="Calibri" w:cs="Times New Roman"/>
          <w:b w:val="0"/>
          <w:bCs w:val="0"/>
          <w:i/>
          <w:iCs/>
          <w:kern w:val="0"/>
          <w:sz w:val="24"/>
          <w:szCs w:val="24"/>
          <w:lang w:val="en-US" w:eastAsia="zh-CN" w:bidi="ar"/>
        </w:rPr>
        <w:t>Idea Press</w:t>
      </w:r>
      <w:r>
        <w:rPr>
          <w:rFonts w:hint="default" w:ascii="Times New Roman" w:hAnsi="Times New Roman" w:eastAsia="Calibri" w:cs="Times New Roman"/>
          <w:b w:val="0"/>
          <w:bCs w:val="0"/>
          <w:kern w:val="0"/>
          <w:sz w:val="24"/>
          <w:szCs w:val="24"/>
          <w:lang w:val="en-US" w:eastAsia="zh-CN" w:bidi="ar"/>
        </w:rPr>
        <w:t>. Yogyakarta: Idea Press Yogyakarta, 2016.</w:t>
      </w:r>
    </w:p>
    <w:p w14:paraId="472B5BE5">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Muhammad Ali Al-Shabuni. </w:t>
      </w:r>
      <w:r>
        <w:rPr>
          <w:rFonts w:hint="default" w:ascii="Times New Roman" w:hAnsi="Times New Roman" w:eastAsia="Calibri" w:cs="Times New Roman"/>
          <w:b w:val="0"/>
          <w:bCs w:val="0"/>
          <w:i/>
          <w:iCs/>
          <w:kern w:val="0"/>
          <w:sz w:val="24"/>
          <w:szCs w:val="24"/>
          <w:lang w:val="en-US" w:eastAsia="zh-CN" w:bidi="ar"/>
        </w:rPr>
        <w:t>Rawa’i Al-Bayan Tafsir Al-Ahkam Al-Qur’an</w:t>
      </w:r>
      <w:r>
        <w:rPr>
          <w:rFonts w:hint="default" w:ascii="Times New Roman" w:hAnsi="Times New Roman" w:eastAsia="Calibri" w:cs="Times New Roman"/>
          <w:b w:val="0"/>
          <w:bCs w:val="0"/>
          <w:kern w:val="0"/>
          <w:sz w:val="24"/>
          <w:szCs w:val="24"/>
          <w:lang w:val="en-US" w:eastAsia="zh-CN" w:bidi="ar"/>
        </w:rPr>
        <w:t>. Jilid 1. Kairo, n.d.</w:t>
      </w:r>
    </w:p>
    <w:p w14:paraId="58088E47">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Muhammad bin ’Abdullah Az-zarkasyi. </w:t>
      </w:r>
      <w:r>
        <w:rPr>
          <w:rFonts w:hint="default" w:ascii="Times New Roman" w:hAnsi="Times New Roman" w:eastAsia="Calibri" w:cs="Times New Roman"/>
          <w:b w:val="0"/>
          <w:bCs w:val="0"/>
          <w:i/>
          <w:iCs/>
          <w:kern w:val="0"/>
          <w:sz w:val="24"/>
          <w:szCs w:val="24"/>
          <w:lang w:val="en-US" w:eastAsia="zh-CN" w:bidi="ar"/>
        </w:rPr>
        <w:t>Al-Burhan Fi Ulum Al-Qur’an</w:t>
      </w:r>
      <w:r>
        <w:rPr>
          <w:rFonts w:hint="default" w:ascii="Times New Roman" w:hAnsi="Times New Roman" w:eastAsia="Calibri" w:cs="Times New Roman"/>
          <w:b w:val="0"/>
          <w:bCs w:val="0"/>
          <w:kern w:val="0"/>
          <w:sz w:val="24"/>
          <w:szCs w:val="24"/>
          <w:lang w:val="en-US" w:eastAsia="zh-CN" w:bidi="ar"/>
        </w:rPr>
        <w:t>. Kairo: ISa al-babi al-Halani, 1972.</w:t>
      </w:r>
    </w:p>
    <w:p w14:paraId="42A0E668">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Muhammad Khoirul Anwar. </w:t>
      </w:r>
      <w:r>
        <w:rPr>
          <w:rFonts w:hint="default" w:ascii="Times New Roman" w:hAnsi="Times New Roman" w:eastAsia="Calibri" w:cs="Times New Roman"/>
          <w:b w:val="0"/>
          <w:bCs w:val="0"/>
          <w:i/>
          <w:iCs/>
          <w:kern w:val="0"/>
          <w:sz w:val="24"/>
          <w:szCs w:val="24"/>
          <w:lang w:val="en-US" w:eastAsia="zh-CN" w:bidi="ar"/>
        </w:rPr>
        <w:t>Buku Bahasa Indonesia Untuk IAT (Ilmu Al-Qur’an Dan Tafsir)</w:t>
      </w:r>
      <w:r>
        <w:rPr>
          <w:rFonts w:hint="default" w:ascii="Times New Roman" w:hAnsi="Times New Roman" w:eastAsia="Calibri" w:cs="Times New Roman"/>
          <w:b w:val="0"/>
          <w:bCs w:val="0"/>
          <w:kern w:val="0"/>
          <w:sz w:val="24"/>
          <w:szCs w:val="24"/>
          <w:lang w:val="en-US" w:eastAsia="zh-CN" w:bidi="ar"/>
        </w:rPr>
        <w:t>. Jakarta: Program Studi Ilmu al Qur’an dan Tafsir, 2022.</w:t>
      </w:r>
    </w:p>
    <w:p w14:paraId="78C3CB80">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Muhammad Mutawali. “Tafsir Ijmali Sebagai Metode Tafsir Rasulullah.” </w:t>
      </w:r>
      <w:r>
        <w:rPr>
          <w:rFonts w:hint="default" w:ascii="Times New Roman" w:hAnsi="Times New Roman" w:eastAsia="Calibri" w:cs="Times New Roman"/>
          <w:b w:val="0"/>
          <w:bCs w:val="0"/>
          <w:i/>
          <w:iCs/>
          <w:kern w:val="0"/>
          <w:sz w:val="24"/>
          <w:szCs w:val="24"/>
          <w:lang w:val="en-US" w:eastAsia="zh-CN" w:bidi="ar"/>
        </w:rPr>
        <w:t>Jurnal Pemikiran Dan Hukum Islam</w:t>
      </w:r>
      <w:r>
        <w:rPr>
          <w:rFonts w:hint="default" w:ascii="Times New Roman" w:hAnsi="Times New Roman" w:eastAsia="Calibri" w:cs="Times New Roman"/>
          <w:b w:val="0"/>
          <w:bCs w:val="0"/>
          <w:kern w:val="0"/>
          <w:sz w:val="24"/>
          <w:szCs w:val="24"/>
          <w:lang w:val="en-US" w:eastAsia="zh-CN" w:bidi="ar"/>
        </w:rPr>
        <w:t xml:space="preserve"> 07 (2021): 5–7.</w:t>
      </w:r>
    </w:p>
    <w:p w14:paraId="4FD59959">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Nafiza, Azka Zahro, and Zaenal Muttaqin. “Tafsir Al-Qur’an Di Media Sosial (Penafsiran Surah Al-Humazah Dalam Youtube ‘Habib Dan Cing’).” </w:t>
      </w:r>
      <w:r>
        <w:rPr>
          <w:rFonts w:hint="default" w:ascii="Times New Roman" w:hAnsi="Times New Roman" w:eastAsia="Calibri" w:cs="Times New Roman"/>
          <w:b w:val="0"/>
          <w:bCs w:val="0"/>
          <w:i/>
          <w:iCs/>
          <w:kern w:val="0"/>
          <w:sz w:val="24"/>
          <w:szCs w:val="24"/>
          <w:lang w:val="en-US" w:eastAsia="zh-CN" w:bidi="ar"/>
        </w:rPr>
        <w:t>Mashdar: Jurnal Studi Al-Qur’an Dan Hadis</w:t>
      </w:r>
      <w:r>
        <w:rPr>
          <w:rFonts w:hint="default" w:ascii="Times New Roman" w:hAnsi="Times New Roman" w:eastAsia="Calibri" w:cs="Times New Roman"/>
          <w:b w:val="0"/>
          <w:bCs w:val="0"/>
          <w:kern w:val="0"/>
          <w:sz w:val="24"/>
          <w:szCs w:val="24"/>
          <w:lang w:val="en-US" w:eastAsia="zh-CN" w:bidi="ar"/>
        </w:rPr>
        <w:t xml:space="preserve"> 4, no. 2 (2022): 231–42. https://doi.org/10.15548/mashdar.v4i2.4188.</w:t>
      </w:r>
    </w:p>
    <w:p w14:paraId="6C0F4583">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Nashruddin Baidan. </w:t>
      </w:r>
      <w:r>
        <w:rPr>
          <w:rFonts w:hint="default" w:ascii="Times New Roman" w:hAnsi="Times New Roman" w:eastAsia="Calibri" w:cs="Times New Roman"/>
          <w:b w:val="0"/>
          <w:bCs w:val="0"/>
          <w:i/>
          <w:iCs/>
          <w:kern w:val="0"/>
          <w:sz w:val="24"/>
          <w:szCs w:val="24"/>
          <w:lang w:val="en-US" w:eastAsia="zh-CN" w:bidi="ar"/>
        </w:rPr>
        <w:t>Wawasan Baru Ilmu Tafsir Hal 370</w:t>
      </w:r>
      <w:r>
        <w:rPr>
          <w:rFonts w:hint="default" w:ascii="Times New Roman" w:hAnsi="Times New Roman" w:eastAsia="Calibri" w:cs="Times New Roman"/>
          <w:b w:val="0"/>
          <w:bCs w:val="0"/>
          <w:kern w:val="0"/>
          <w:sz w:val="24"/>
          <w:szCs w:val="24"/>
          <w:lang w:val="en-US" w:eastAsia="zh-CN" w:bidi="ar"/>
        </w:rPr>
        <w:t>. Yogyakarta: Pustaka belajar, 2005.</w:t>
      </w:r>
    </w:p>
    <w:p w14:paraId="0081B092">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One4Kids. “About One4Kids,” n.d. https://one4kids.net/about-us/.</w:t>
      </w:r>
    </w:p>
    <w:p w14:paraId="4F8C2E22">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 </w:t>
      </w:r>
      <w:r>
        <w:rPr>
          <w:rFonts w:hint="default" w:ascii="Times New Roman" w:hAnsi="Times New Roman" w:eastAsia="Calibri" w:cs="Times New Roman"/>
          <w:b w:val="0"/>
          <w:bCs w:val="0"/>
          <w:i/>
          <w:iCs/>
          <w:kern w:val="0"/>
          <w:sz w:val="24"/>
          <w:szCs w:val="24"/>
          <w:lang w:val="en-US" w:eastAsia="zh-CN" w:bidi="ar"/>
        </w:rPr>
        <w:t>Perjalanan Luar Biasa One4Kids.</w:t>
      </w:r>
      <w:r>
        <w:rPr>
          <w:rFonts w:hint="default" w:ascii="Times New Roman" w:hAnsi="Times New Roman" w:eastAsia="Calibri" w:cs="Times New Roman"/>
          <w:b w:val="0"/>
          <w:bCs w:val="0"/>
          <w:kern w:val="0"/>
          <w:sz w:val="24"/>
          <w:szCs w:val="24"/>
          <w:lang w:val="en-US" w:eastAsia="zh-CN" w:bidi="ar"/>
        </w:rPr>
        <w:t>, 2023.</w:t>
      </w:r>
    </w:p>
    <w:p w14:paraId="3A56392E">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Pamadh, Hajar. </w:t>
      </w:r>
      <w:r>
        <w:rPr>
          <w:rFonts w:hint="default" w:ascii="Times New Roman" w:hAnsi="Times New Roman" w:eastAsia="Calibri" w:cs="Times New Roman"/>
          <w:b w:val="0"/>
          <w:bCs w:val="0"/>
          <w:i/>
          <w:iCs/>
          <w:kern w:val="0"/>
          <w:sz w:val="24"/>
          <w:szCs w:val="24"/>
          <w:lang w:val="en-US" w:eastAsia="zh-CN" w:bidi="ar"/>
        </w:rPr>
        <w:t>Pendidikan Seni</w:t>
      </w:r>
      <w:r>
        <w:rPr>
          <w:rFonts w:hint="default" w:ascii="Times New Roman" w:hAnsi="Times New Roman" w:eastAsia="Calibri" w:cs="Times New Roman"/>
          <w:b w:val="0"/>
          <w:bCs w:val="0"/>
          <w:kern w:val="0"/>
          <w:sz w:val="24"/>
          <w:szCs w:val="24"/>
          <w:lang w:val="en-US" w:eastAsia="zh-CN" w:bidi="ar"/>
        </w:rPr>
        <w:t>. Yogyakarta: UNY Press, 2012.</w:t>
      </w:r>
    </w:p>
    <w:p w14:paraId="59F4FF15">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Purba, Asnan, and Maturidi. “Mendidik Anak Dalam Mencintai Al- Qur’ an: Studi Kasus Di TPA Darussalam Al-Hamidiyah Bogor.” </w:t>
      </w:r>
      <w:r>
        <w:rPr>
          <w:rFonts w:hint="default" w:ascii="Times New Roman" w:hAnsi="Times New Roman" w:eastAsia="Calibri" w:cs="Times New Roman"/>
          <w:b w:val="0"/>
          <w:bCs w:val="0"/>
          <w:i/>
          <w:iCs/>
          <w:kern w:val="0"/>
          <w:sz w:val="24"/>
          <w:szCs w:val="24"/>
          <w:lang w:val="en-US" w:eastAsia="zh-CN" w:bidi="ar"/>
        </w:rPr>
        <w:t>Edukasi Islami: Jurnal Pendidikan Islam</w:t>
      </w:r>
      <w:r>
        <w:rPr>
          <w:rFonts w:hint="default" w:ascii="Times New Roman" w:hAnsi="Times New Roman" w:eastAsia="Calibri" w:cs="Times New Roman"/>
          <w:b w:val="0"/>
          <w:bCs w:val="0"/>
          <w:kern w:val="0"/>
          <w:sz w:val="24"/>
          <w:szCs w:val="24"/>
          <w:lang w:val="en-US" w:eastAsia="zh-CN" w:bidi="ar"/>
        </w:rPr>
        <w:t xml:space="preserve"> 08, no. 02 (2019): 347.</w:t>
      </w:r>
    </w:p>
    <w:p w14:paraId="6AEA4723">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Qonita, Rifda, Laily Rosidah, and Fahmi. “Pengaruh Youtube Terhadap Kemampuan Interaksi Sosial Anak Usia 5-6 Tahun.” </w:t>
      </w:r>
      <w:r>
        <w:rPr>
          <w:rFonts w:hint="default" w:ascii="Times New Roman" w:hAnsi="Times New Roman" w:eastAsia="Calibri" w:cs="Times New Roman"/>
          <w:b w:val="0"/>
          <w:bCs w:val="0"/>
          <w:i/>
          <w:iCs/>
          <w:kern w:val="0"/>
          <w:sz w:val="24"/>
          <w:szCs w:val="24"/>
          <w:lang w:val="en-US" w:eastAsia="zh-CN" w:bidi="ar"/>
        </w:rPr>
        <w:t>Indonesian Journal of Early Childhood: Jurnal Dunia Anak Usia Dini</w:t>
      </w:r>
      <w:r>
        <w:rPr>
          <w:rFonts w:hint="default" w:ascii="Times New Roman" w:hAnsi="Times New Roman" w:eastAsia="Calibri" w:cs="Times New Roman"/>
          <w:b w:val="0"/>
          <w:bCs w:val="0"/>
          <w:kern w:val="0"/>
          <w:sz w:val="24"/>
          <w:szCs w:val="24"/>
          <w:lang w:val="en-US" w:eastAsia="zh-CN" w:bidi="ar"/>
        </w:rPr>
        <w:t xml:space="preserve"> 5, no. 1 (2023): 197–206. https://doi.org/10.35473/ijec.v5i1.2054.</w:t>
      </w:r>
    </w:p>
    <w:p w14:paraId="64A98AAF">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RACO, J. R. </w:t>
      </w:r>
      <w:r>
        <w:rPr>
          <w:rFonts w:hint="default" w:ascii="Times New Roman" w:hAnsi="Times New Roman" w:eastAsia="Calibri" w:cs="Times New Roman"/>
          <w:b w:val="0"/>
          <w:bCs w:val="0"/>
          <w:i/>
          <w:iCs/>
          <w:kern w:val="0"/>
          <w:sz w:val="24"/>
          <w:szCs w:val="24"/>
          <w:lang w:val="en-US" w:eastAsia="zh-CN" w:bidi="ar"/>
        </w:rPr>
        <w:t>Penelitian Kualitatif: Metode Penelitian Kualitatif</w:t>
      </w:r>
      <w:r>
        <w:rPr>
          <w:rFonts w:hint="default" w:ascii="Times New Roman" w:hAnsi="Times New Roman" w:eastAsia="Calibri" w:cs="Times New Roman"/>
          <w:b w:val="0"/>
          <w:bCs w:val="0"/>
          <w:kern w:val="0"/>
          <w:sz w:val="24"/>
          <w:szCs w:val="24"/>
          <w:lang w:val="en-US" w:eastAsia="zh-CN" w:bidi="ar"/>
        </w:rPr>
        <w:t xml:space="preserve">. </w:t>
      </w:r>
      <w:r>
        <w:rPr>
          <w:rFonts w:hint="default" w:ascii="Times New Roman" w:hAnsi="Times New Roman" w:eastAsia="Calibri" w:cs="Times New Roman"/>
          <w:b w:val="0"/>
          <w:bCs w:val="0"/>
          <w:i/>
          <w:iCs/>
          <w:kern w:val="0"/>
          <w:sz w:val="24"/>
          <w:szCs w:val="24"/>
          <w:lang w:val="en-US" w:eastAsia="zh-CN" w:bidi="ar"/>
        </w:rPr>
        <w:t>Jurnal EQUILIBRIUM</w:t>
      </w:r>
      <w:r>
        <w:rPr>
          <w:rFonts w:hint="default" w:ascii="Times New Roman" w:hAnsi="Times New Roman" w:eastAsia="Calibri" w:cs="Times New Roman"/>
          <w:b w:val="0"/>
          <w:bCs w:val="0"/>
          <w:kern w:val="0"/>
          <w:sz w:val="24"/>
          <w:szCs w:val="24"/>
          <w:lang w:val="en-US" w:eastAsia="zh-CN" w:bidi="ar"/>
        </w:rPr>
        <w:t>. Vol. 5. Jakarta: Grasindo, 2010.</w:t>
      </w:r>
    </w:p>
    <w:p w14:paraId="3A393C4B">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Rahma, Talitha Samantha, and Nensy Megawati Simanjuntak. “Konten Pada Channel Youtube ‘Kartun Anak’ Berisi Animasi Yang Berfungsi Sebagai Media Belajar Bagi Balita.” </w:t>
      </w:r>
      <w:r>
        <w:rPr>
          <w:rFonts w:hint="default" w:ascii="Times New Roman" w:hAnsi="Times New Roman" w:eastAsia="Calibri" w:cs="Times New Roman"/>
          <w:b w:val="0"/>
          <w:bCs w:val="0"/>
          <w:i/>
          <w:iCs/>
          <w:kern w:val="0"/>
          <w:sz w:val="24"/>
          <w:szCs w:val="24"/>
          <w:lang w:val="en-US" w:eastAsia="zh-CN" w:bidi="ar"/>
        </w:rPr>
        <w:t>Jurnal Pendidikan Tambusai</w:t>
      </w:r>
      <w:r>
        <w:rPr>
          <w:rFonts w:hint="default" w:ascii="Times New Roman" w:hAnsi="Times New Roman" w:eastAsia="Calibri" w:cs="Times New Roman"/>
          <w:b w:val="0"/>
          <w:bCs w:val="0"/>
          <w:kern w:val="0"/>
          <w:sz w:val="24"/>
          <w:szCs w:val="24"/>
          <w:lang w:val="en-US" w:eastAsia="zh-CN" w:bidi="ar"/>
        </w:rPr>
        <w:t xml:space="preserve"> 8, no. 2 (2024): 28170–84.</w:t>
      </w:r>
    </w:p>
    <w:p w14:paraId="18F0BF9A">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Rahmayanti, Laily, and Farida Istianah. “Pengaruh Penggunaan Media Video Animasi Terhadap Hasil Belajar Siswa Kelas V Sdn Se-Gugus Sukodono Sidoarjo Laily Rahmayanti Pgsd Fip Universitas Negeri Surabaya Abstrak.” </w:t>
      </w:r>
      <w:r>
        <w:rPr>
          <w:rFonts w:hint="default" w:ascii="Times New Roman" w:hAnsi="Times New Roman" w:eastAsia="Calibri" w:cs="Times New Roman"/>
          <w:b w:val="0"/>
          <w:bCs w:val="0"/>
          <w:i/>
          <w:iCs/>
          <w:kern w:val="0"/>
          <w:sz w:val="24"/>
          <w:szCs w:val="24"/>
          <w:lang w:val="en-US" w:eastAsia="zh-CN" w:bidi="ar"/>
        </w:rPr>
        <w:t>Jurnal PGSD</w:t>
      </w:r>
      <w:r>
        <w:rPr>
          <w:rFonts w:hint="default" w:ascii="Times New Roman" w:hAnsi="Times New Roman" w:eastAsia="Calibri" w:cs="Times New Roman"/>
          <w:b w:val="0"/>
          <w:bCs w:val="0"/>
          <w:kern w:val="0"/>
          <w:sz w:val="24"/>
          <w:szCs w:val="24"/>
          <w:lang w:val="en-US" w:eastAsia="zh-CN" w:bidi="ar"/>
        </w:rPr>
        <w:t xml:space="preserve"> 6, no. 4 (2018): 429–39.</w:t>
      </w:r>
    </w:p>
    <w:p w14:paraId="4589AD6B">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Sarosa, Samiaji. </w:t>
      </w:r>
      <w:r>
        <w:rPr>
          <w:rFonts w:hint="default" w:ascii="Times New Roman" w:hAnsi="Times New Roman" w:eastAsia="Calibri" w:cs="Times New Roman"/>
          <w:b w:val="0"/>
          <w:bCs w:val="0"/>
          <w:i/>
          <w:iCs/>
          <w:kern w:val="0"/>
          <w:sz w:val="24"/>
          <w:szCs w:val="24"/>
          <w:lang w:val="en-US" w:eastAsia="zh-CN" w:bidi="ar"/>
        </w:rPr>
        <w:t>Analisis Data Penelitian Kualitatif. Yogyakarta:</w:t>
      </w:r>
      <w:r>
        <w:rPr>
          <w:rFonts w:hint="default" w:ascii="Times New Roman" w:hAnsi="Times New Roman" w:eastAsia="Calibri" w:cs="Times New Roman"/>
          <w:b w:val="0"/>
          <w:bCs w:val="0"/>
          <w:kern w:val="0"/>
          <w:sz w:val="24"/>
          <w:szCs w:val="24"/>
          <w:lang w:val="en-US" w:eastAsia="zh-CN" w:bidi="ar"/>
        </w:rPr>
        <w:t xml:space="preserve"> Yogyakarta: PT.Kansius, 2021.</w:t>
      </w:r>
    </w:p>
    <w:p w14:paraId="6A483B26">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Siregar, Haiva Satriana Zahrah, Subi Nur Isnaini, and A. Muh. Azka Fazaka Rif’ah. “Resepsi Al-Qurˋan Dalam Animasi Riko the Series Di You Tobe: Kajian Living Qurˋan Di Media Sosial.” </w:t>
      </w:r>
      <w:r>
        <w:rPr>
          <w:rFonts w:hint="default" w:ascii="Times New Roman" w:hAnsi="Times New Roman" w:eastAsia="Calibri" w:cs="Times New Roman"/>
          <w:b w:val="0"/>
          <w:bCs w:val="0"/>
          <w:i/>
          <w:iCs/>
          <w:kern w:val="0"/>
          <w:sz w:val="24"/>
          <w:szCs w:val="24"/>
          <w:lang w:val="en-US" w:eastAsia="zh-CN" w:bidi="ar"/>
        </w:rPr>
        <w:t>Living Islam: Journal of Islamic Discourses</w:t>
      </w:r>
      <w:r>
        <w:rPr>
          <w:rFonts w:hint="default" w:ascii="Times New Roman" w:hAnsi="Times New Roman" w:eastAsia="Calibri" w:cs="Times New Roman"/>
          <w:b w:val="0"/>
          <w:bCs w:val="0"/>
          <w:kern w:val="0"/>
          <w:sz w:val="24"/>
          <w:szCs w:val="24"/>
          <w:lang w:val="en-US" w:eastAsia="zh-CN" w:bidi="ar"/>
        </w:rPr>
        <w:t xml:space="preserve"> 6, no. 1 (2023). https://doi.org/10.14421/lijid.v6i1.4346.</w:t>
      </w:r>
    </w:p>
    <w:p w14:paraId="17028ABC">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Sitompul, Waldan Warid, Siti Masitoh, Siti Pardiani Tanjung, and Kartini. “Penelitian Tentang Youtube.” </w:t>
      </w:r>
      <w:r>
        <w:rPr>
          <w:rFonts w:hint="default" w:ascii="Times New Roman" w:hAnsi="Times New Roman" w:eastAsia="Calibri" w:cs="Times New Roman"/>
          <w:b w:val="0"/>
          <w:bCs w:val="0"/>
          <w:i/>
          <w:iCs/>
          <w:kern w:val="0"/>
          <w:sz w:val="24"/>
          <w:szCs w:val="24"/>
          <w:lang w:val="en-US" w:eastAsia="zh-CN" w:bidi="ar"/>
        </w:rPr>
        <w:t>Jurnal Perpustakaan Dan Informasi</w:t>
      </w:r>
      <w:r>
        <w:rPr>
          <w:rFonts w:hint="default" w:ascii="Times New Roman" w:hAnsi="Times New Roman" w:eastAsia="Calibri" w:cs="Times New Roman"/>
          <w:b w:val="0"/>
          <w:bCs w:val="0"/>
          <w:kern w:val="0"/>
          <w:sz w:val="24"/>
          <w:szCs w:val="24"/>
          <w:lang w:val="en-US" w:eastAsia="zh-CN" w:bidi="ar"/>
        </w:rPr>
        <w:t xml:space="preserve"> Vol 2 No 2 (2022): 13–19.</w:t>
      </w:r>
    </w:p>
    <w:p w14:paraId="5B37DF12">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Sofyan, Muhammad. </w:t>
      </w:r>
      <w:r>
        <w:rPr>
          <w:rFonts w:hint="default" w:ascii="Times New Roman" w:hAnsi="Times New Roman" w:eastAsia="Calibri" w:cs="Times New Roman"/>
          <w:b w:val="0"/>
          <w:bCs w:val="0"/>
          <w:i/>
          <w:iCs/>
          <w:kern w:val="0"/>
          <w:sz w:val="24"/>
          <w:szCs w:val="24"/>
          <w:lang w:val="en-US" w:eastAsia="zh-CN" w:bidi="ar"/>
        </w:rPr>
        <w:t>Tafsir Wal Mufassirun</w:t>
      </w:r>
      <w:r>
        <w:rPr>
          <w:rFonts w:hint="default" w:ascii="Times New Roman" w:hAnsi="Times New Roman" w:eastAsia="Calibri" w:cs="Times New Roman"/>
          <w:b w:val="0"/>
          <w:bCs w:val="0"/>
          <w:kern w:val="0"/>
          <w:sz w:val="24"/>
          <w:szCs w:val="24"/>
          <w:lang w:val="en-US" w:eastAsia="zh-CN" w:bidi="ar"/>
        </w:rPr>
        <w:t>. Medan: Perdana Publishing, 2015.</w:t>
      </w:r>
    </w:p>
    <w:p w14:paraId="68568AA7">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Subhik Alshaik. “Learn Quran Cartoon - Surah Al-Kaafiroon.” One4kids, 2019. https://youtu.be/EmWDwU_uI6Y?si=IQA-ljxviKMmtEBs.</w:t>
      </w:r>
    </w:p>
    <w:p w14:paraId="0B250732">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“Learn Quran For Kids - SURATUL FALAQ.” one, 2019. https://youtu.be/xIDL_akeras%0Ahttps://www.youtube.com/watch?v=bBC-nXj3Ng4%0Ahttps://youtu.be/_160oMzblY8.</w:t>
      </w:r>
    </w:p>
    <w:p w14:paraId="2177DE8B">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“Learn Quran For Kids - SURATUL IKHLAS.” One4kids, n.d. https://youtu.be/C5nLnbTBHnc?si=3_feUHkaxfEbqgKU.</w:t>
      </w:r>
    </w:p>
    <w:p w14:paraId="251FE7D7">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“Learn Quran For Kids - SURATUL MAUN with Zaky.” One4kids, 2024. https://youtu.be/br4tKFjTcLk?si=wdhITDTw64SrBygu.</w:t>
      </w:r>
    </w:p>
    <w:p w14:paraId="680888DB">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Subhil Alshaik. “Build The Future Campaing.” One4kids, 2021. https://youtu.be/D2FDkIWmAAk?si=RAbby9E_8BIQlnHM.</w:t>
      </w:r>
    </w:p>
    <w:p w14:paraId="60C8B395">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“Learn Quran For Kids - SURAT QURAYSH with Zaky.” one4kids, 2024. https://youtu.be/zAM1-lHPXEQ?si=MRwv7RK8RFAeAHwr.</w:t>
      </w:r>
    </w:p>
    <w:p w14:paraId="4489D371">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“Learn Quran For Kids - SURATUL KAWTHAR.” One4kids, 2021. https://youtu.be/2LDgEgpUHs0?si=fQHhtJDQbqf86O_v.</w:t>
      </w:r>
    </w:p>
    <w:p w14:paraId="575EE4D6">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“Perjalanan Luar Biasa One4Kids.” One4kids, 2019. https://youtu.be/jmvX5-HK7Js?si=9kND72tjRq6Pa2Qm.</w:t>
      </w:r>
    </w:p>
    <w:p w14:paraId="0BDC50B3">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“Saluran Youtube Berbahasa Arab.” One4kids, 2021. https://www.youtube.com/channel/UCZfD7jYllMQuMb3eESi_VmA,.</w:t>
      </w:r>
    </w:p>
    <w:p w14:paraId="3C807785">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“Saluran Youtube Berbahasa Indonesia.” One4kids, 2019. https://www.youtube.com/channel/UCBR2wPLqY-JJci9yBX5a1Xw,.</w:t>
      </w:r>
    </w:p>
    <w:p w14:paraId="111D2207">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“Saluran Youtube Berbahasa Inggris.” One4kids, 2022. https://www.youtube.com/channel/UC5vfWTTPnKdFp-8s0KbqJhw,.</w:t>
      </w:r>
    </w:p>
    <w:p w14:paraId="4EFFC769">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“Selamat Datang Dari ZAKY!” One4kids, 2019. https://youtu.be/Dh8nEHDiFm8?si=UY6CF1_her-1vJOC.</w:t>
      </w:r>
    </w:p>
    <w:p w14:paraId="3D3C4D59">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“Tafsir Quran - Learn About Suratun Nasr.” One4kids, 2019. https://youtu.be/tswuD_Uas7w?si=cTK7dSSNa7XS1nGK.</w:t>
      </w:r>
    </w:p>
    <w:p w14:paraId="0C83C6EA">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“Tafsir Quran For Kids - SURAH AN-NAAS.” One4kids, 2018. https://youtu.be/9KuwgqT2nEg?si=VX-ueD7RotJPyDXz.</w:t>
      </w:r>
    </w:p>
    <w:p w14:paraId="2C405544">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Sugiono. </w:t>
      </w:r>
      <w:r>
        <w:rPr>
          <w:rFonts w:hint="default" w:ascii="Times New Roman" w:hAnsi="Times New Roman" w:eastAsia="Calibri" w:cs="Times New Roman"/>
          <w:b w:val="0"/>
          <w:bCs w:val="0"/>
          <w:i/>
          <w:iCs/>
          <w:kern w:val="0"/>
          <w:sz w:val="24"/>
          <w:szCs w:val="24"/>
          <w:lang w:val="en-US" w:eastAsia="zh-CN" w:bidi="ar"/>
        </w:rPr>
        <w:t>Metodologi Penelitian Pendidikan :(Pendekatam Kuantitatif ,Kualitatif Dan R Dan D)</w:t>
      </w:r>
      <w:r>
        <w:rPr>
          <w:rFonts w:hint="default" w:ascii="Times New Roman" w:hAnsi="Times New Roman" w:eastAsia="Calibri" w:cs="Times New Roman"/>
          <w:b w:val="0"/>
          <w:bCs w:val="0"/>
          <w:kern w:val="0"/>
          <w:sz w:val="24"/>
          <w:szCs w:val="24"/>
          <w:lang w:val="en-US" w:eastAsia="zh-CN" w:bidi="ar"/>
        </w:rPr>
        <w:t>. Bandung: Alfabeta. CV, 2017.</w:t>
      </w:r>
    </w:p>
    <w:p w14:paraId="4E589E66">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Sugito, Sairun Aryani, Ikbar Pratama, and Indah Azzahra. </w:t>
      </w:r>
      <w:r>
        <w:rPr>
          <w:rFonts w:hint="default" w:ascii="Times New Roman" w:hAnsi="Times New Roman" w:eastAsia="Calibri" w:cs="Times New Roman"/>
          <w:b w:val="0"/>
          <w:bCs w:val="0"/>
          <w:i/>
          <w:iCs/>
          <w:kern w:val="0"/>
          <w:sz w:val="24"/>
          <w:szCs w:val="24"/>
          <w:lang w:val="en-US" w:eastAsia="zh-CN" w:bidi="ar"/>
        </w:rPr>
        <w:t>Media Sosial (Inovasi Pada Produk &amp; Perkembangan Usaha)</w:t>
      </w:r>
      <w:r>
        <w:rPr>
          <w:rFonts w:hint="default" w:ascii="Times New Roman" w:hAnsi="Times New Roman" w:eastAsia="Calibri" w:cs="Times New Roman"/>
          <w:b w:val="0"/>
          <w:bCs w:val="0"/>
          <w:kern w:val="0"/>
          <w:sz w:val="24"/>
          <w:szCs w:val="24"/>
          <w:lang w:val="en-US" w:eastAsia="zh-CN" w:bidi="ar"/>
        </w:rPr>
        <w:t xml:space="preserve">. </w:t>
      </w:r>
      <w:r>
        <w:rPr>
          <w:rFonts w:hint="default" w:ascii="Times New Roman" w:hAnsi="Times New Roman" w:eastAsia="Calibri" w:cs="Times New Roman"/>
          <w:b w:val="0"/>
          <w:bCs w:val="0"/>
          <w:i/>
          <w:iCs/>
          <w:kern w:val="0"/>
          <w:sz w:val="24"/>
          <w:szCs w:val="24"/>
          <w:lang w:val="en-US" w:eastAsia="zh-CN" w:bidi="ar"/>
        </w:rPr>
        <w:t>Universitas Medan Area Press</w:t>
      </w:r>
      <w:r>
        <w:rPr>
          <w:rFonts w:hint="default" w:ascii="Times New Roman" w:hAnsi="Times New Roman" w:eastAsia="Calibri" w:cs="Times New Roman"/>
          <w:b w:val="0"/>
          <w:bCs w:val="0"/>
          <w:kern w:val="0"/>
          <w:sz w:val="24"/>
          <w:szCs w:val="24"/>
          <w:lang w:val="en-US" w:eastAsia="zh-CN" w:bidi="ar"/>
        </w:rPr>
        <w:t>. Medan: Universita medan area Press, 2022.</w:t>
      </w:r>
    </w:p>
    <w:p w14:paraId="5B54CABE">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Suheri; Dedy Yansyah; Zaenuri; Irfan Anshori; Rodiatul Mutmainah. “The Values of Islamic Education in Nasyid Songs on the Indonesian Language Edition of One4kids Youtube Channel by Subhi Alshaik.” </w:t>
      </w:r>
      <w:r>
        <w:rPr>
          <w:rFonts w:hint="default" w:ascii="Times New Roman" w:hAnsi="Times New Roman" w:eastAsia="Calibri" w:cs="Times New Roman"/>
          <w:b w:val="0"/>
          <w:bCs w:val="0"/>
          <w:i/>
          <w:iCs/>
          <w:kern w:val="0"/>
          <w:sz w:val="24"/>
          <w:szCs w:val="24"/>
          <w:lang w:val="en-US" w:eastAsia="zh-CN" w:bidi="ar"/>
        </w:rPr>
        <w:t>Edunesia: Jurnal Ilmiah Pendidikan</w:t>
      </w:r>
      <w:r>
        <w:rPr>
          <w:rFonts w:hint="default" w:ascii="Times New Roman" w:hAnsi="Times New Roman" w:eastAsia="Calibri" w:cs="Times New Roman"/>
          <w:b w:val="0"/>
          <w:bCs w:val="0"/>
          <w:kern w:val="0"/>
          <w:sz w:val="24"/>
          <w:szCs w:val="24"/>
          <w:lang w:val="en-US" w:eastAsia="zh-CN" w:bidi="ar"/>
        </w:rPr>
        <w:t xml:space="preserve"> 4, no. 1 (2022): 40–54. https://doi.org/10.51276/edu.v4i1.311.</w:t>
      </w:r>
    </w:p>
    <w:p w14:paraId="5C00DCAE">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Suma, Muhammad Amin. </w:t>
      </w:r>
      <w:r>
        <w:rPr>
          <w:rFonts w:hint="default" w:ascii="Times New Roman" w:hAnsi="Times New Roman" w:eastAsia="Calibri" w:cs="Times New Roman"/>
          <w:b w:val="0"/>
          <w:bCs w:val="0"/>
          <w:i/>
          <w:iCs/>
          <w:kern w:val="0"/>
          <w:sz w:val="24"/>
          <w:szCs w:val="24"/>
          <w:lang w:val="en-US" w:eastAsia="zh-CN" w:bidi="ar"/>
        </w:rPr>
        <w:t>Ulumul Qur’an</w:t>
      </w:r>
      <w:r>
        <w:rPr>
          <w:rFonts w:hint="default" w:ascii="Times New Roman" w:hAnsi="Times New Roman" w:eastAsia="Calibri" w:cs="Times New Roman"/>
          <w:b w:val="0"/>
          <w:bCs w:val="0"/>
          <w:kern w:val="0"/>
          <w:sz w:val="24"/>
          <w:szCs w:val="24"/>
          <w:lang w:val="en-US" w:eastAsia="zh-CN" w:bidi="ar"/>
        </w:rPr>
        <w:t>. Jakarta: Rajawali Press, 2013.</w:t>
      </w:r>
    </w:p>
    <w:p w14:paraId="210A6D20">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Sumbi, Agustinus Kembardi, and Josephina Nirma Rupa. “Kemampuan Menentukan Kalimat Persuasif Dalam Teks Negosiasi Siswa SMA.” </w:t>
      </w:r>
      <w:r>
        <w:rPr>
          <w:rFonts w:hint="default" w:ascii="Times New Roman" w:hAnsi="Times New Roman" w:eastAsia="Calibri" w:cs="Times New Roman"/>
          <w:b w:val="0"/>
          <w:bCs w:val="0"/>
          <w:i/>
          <w:iCs/>
          <w:kern w:val="0"/>
          <w:sz w:val="24"/>
          <w:szCs w:val="24"/>
          <w:lang w:val="en-US" w:eastAsia="zh-CN" w:bidi="ar"/>
        </w:rPr>
        <w:t>Edukatif : Jurnal Ilmu Pendidikan</w:t>
      </w:r>
      <w:r>
        <w:rPr>
          <w:rFonts w:hint="default" w:ascii="Times New Roman" w:hAnsi="Times New Roman" w:eastAsia="Calibri" w:cs="Times New Roman"/>
          <w:b w:val="0"/>
          <w:bCs w:val="0"/>
          <w:kern w:val="0"/>
          <w:sz w:val="24"/>
          <w:szCs w:val="24"/>
          <w:lang w:val="en-US" w:eastAsia="zh-CN" w:bidi="ar"/>
        </w:rPr>
        <w:t xml:space="preserve"> 3, no. 4 (2021): 1798–1807. https://doi.org/10.31004/edukatif.v3i4.689.</w:t>
      </w:r>
    </w:p>
    <w:p w14:paraId="440F35E7">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Taimiyyah, Ibnu. </w:t>
      </w:r>
      <w:r>
        <w:rPr>
          <w:rFonts w:hint="default" w:ascii="Times New Roman" w:hAnsi="Times New Roman" w:eastAsia="Calibri" w:cs="Times New Roman"/>
          <w:b w:val="0"/>
          <w:bCs w:val="0"/>
          <w:i/>
          <w:iCs/>
          <w:kern w:val="0"/>
          <w:sz w:val="24"/>
          <w:szCs w:val="24"/>
          <w:lang w:val="en-US" w:eastAsia="zh-CN" w:bidi="ar"/>
        </w:rPr>
        <w:t>Muqadimah Fi Usul Al-Tafsir</w:t>
      </w:r>
      <w:r>
        <w:rPr>
          <w:rFonts w:hint="default" w:ascii="Times New Roman" w:hAnsi="Times New Roman" w:eastAsia="Calibri" w:cs="Times New Roman"/>
          <w:b w:val="0"/>
          <w:bCs w:val="0"/>
          <w:kern w:val="0"/>
          <w:sz w:val="24"/>
          <w:szCs w:val="24"/>
          <w:lang w:val="en-US" w:eastAsia="zh-CN" w:bidi="ar"/>
        </w:rPr>
        <w:t>. Cet.1. Kuwait: dar al-Qur’an al-karim, 1971.</w:t>
      </w:r>
    </w:p>
    <w:p w14:paraId="0945E51D">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United Nations Children’s Fund (UNICEF). “Situasi Anak Di Indonesia - Tren, Peluang, Dan Tantangan Dalam Memenuhi Hak-Hak Anak.” In </w:t>
      </w:r>
      <w:r>
        <w:rPr>
          <w:rFonts w:hint="default" w:ascii="Times New Roman" w:hAnsi="Times New Roman" w:eastAsia="Calibri" w:cs="Times New Roman"/>
          <w:b w:val="0"/>
          <w:bCs w:val="0"/>
          <w:i/>
          <w:iCs/>
          <w:kern w:val="0"/>
          <w:sz w:val="24"/>
          <w:szCs w:val="24"/>
          <w:lang w:val="en-US" w:eastAsia="zh-CN" w:bidi="ar"/>
        </w:rPr>
        <w:t>Unicef Indonesia</w:t>
      </w:r>
      <w:r>
        <w:rPr>
          <w:rFonts w:hint="default" w:ascii="Times New Roman" w:hAnsi="Times New Roman" w:eastAsia="Calibri" w:cs="Times New Roman"/>
          <w:b w:val="0"/>
          <w:bCs w:val="0"/>
          <w:kern w:val="0"/>
          <w:sz w:val="24"/>
          <w:szCs w:val="24"/>
          <w:lang w:val="en-US" w:eastAsia="zh-CN" w:bidi="ar"/>
        </w:rPr>
        <w:t>, 8–38. Jakarta: UNICEF Indonesia, 2020.</w:t>
      </w:r>
    </w:p>
    <w:p w14:paraId="7A83A398">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Vinet, Luc, and Alexei Zhedanov. “A ‘missing’ Family of Classical Orthogonal Polynomials.” </w:t>
      </w:r>
      <w:r>
        <w:rPr>
          <w:rFonts w:hint="default" w:ascii="Times New Roman" w:hAnsi="Times New Roman" w:eastAsia="Calibri" w:cs="Times New Roman"/>
          <w:b w:val="0"/>
          <w:bCs w:val="0"/>
          <w:i/>
          <w:iCs/>
          <w:kern w:val="0"/>
          <w:sz w:val="24"/>
          <w:szCs w:val="24"/>
          <w:lang w:val="en-US" w:eastAsia="zh-CN" w:bidi="ar"/>
        </w:rPr>
        <w:t>Journal of Physics A: Mathematical and Theoretical</w:t>
      </w:r>
      <w:r>
        <w:rPr>
          <w:rFonts w:hint="default" w:ascii="Times New Roman" w:hAnsi="Times New Roman" w:eastAsia="Calibri" w:cs="Times New Roman"/>
          <w:b w:val="0"/>
          <w:bCs w:val="0"/>
          <w:kern w:val="0"/>
          <w:sz w:val="24"/>
          <w:szCs w:val="24"/>
          <w:lang w:val="en-US" w:eastAsia="zh-CN" w:bidi="ar"/>
        </w:rPr>
        <w:t xml:space="preserve"> 44, no. 8 (2011): 1689–99. https://doi.org/10.1088/1751-8113/44/8/085201.</w:t>
      </w:r>
    </w:p>
    <w:p w14:paraId="05DD0FCD">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Widhi Astuti, Titi Surtati. “Dampak Media Youtube Dalam Proses Pembelajaran Bagi Kaun Milenial.” </w:t>
      </w:r>
      <w:r>
        <w:rPr>
          <w:rFonts w:hint="default" w:ascii="Times New Roman" w:hAnsi="Times New Roman" w:eastAsia="Calibri" w:cs="Times New Roman"/>
          <w:b w:val="0"/>
          <w:bCs w:val="0"/>
          <w:i/>
          <w:iCs/>
          <w:kern w:val="0"/>
          <w:sz w:val="24"/>
          <w:szCs w:val="24"/>
          <w:lang w:val="en-US" w:eastAsia="zh-CN" w:bidi="ar"/>
        </w:rPr>
        <w:t>Jurnal Widya Aksara</w:t>
      </w:r>
      <w:r>
        <w:rPr>
          <w:rFonts w:hint="default" w:ascii="Times New Roman" w:hAnsi="Times New Roman" w:eastAsia="Calibri" w:cs="Times New Roman"/>
          <w:b w:val="0"/>
          <w:bCs w:val="0"/>
          <w:kern w:val="0"/>
          <w:sz w:val="24"/>
          <w:szCs w:val="24"/>
          <w:lang w:val="en-US" w:eastAsia="zh-CN" w:bidi="ar"/>
        </w:rPr>
        <w:t>, 2021, 1689–99.</w:t>
      </w:r>
    </w:p>
    <w:p w14:paraId="381DE9AB">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Wijanarko, Andang. “Implementasi Prinsip Animasi Straight Ahead Action Pada Karakter Hewan Berbasis Animasi 2D.” </w:t>
      </w:r>
      <w:r>
        <w:rPr>
          <w:rFonts w:hint="default" w:ascii="Times New Roman" w:hAnsi="Times New Roman" w:eastAsia="Calibri" w:cs="Times New Roman"/>
          <w:b w:val="0"/>
          <w:bCs w:val="0"/>
          <w:i/>
          <w:iCs/>
          <w:kern w:val="0"/>
          <w:sz w:val="24"/>
          <w:szCs w:val="24"/>
          <w:lang w:val="en-US" w:eastAsia="zh-CN" w:bidi="ar"/>
        </w:rPr>
        <w:t>JAMI: Jurnal Ahli Muda Indonesia</w:t>
      </w:r>
      <w:r>
        <w:rPr>
          <w:rFonts w:hint="default" w:ascii="Times New Roman" w:hAnsi="Times New Roman" w:eastAsia="Calibri" w:cs="Times New Roman"/>
          <w:b w:val="0"/>
          <w:bCs w:val="0"/>
          <w:kern w:val="0"/>
          <w:sz w:val="24"/>
          <w:szCs w:val="24"/>
          <w:lang w:val="en-US" w:eastAsia="zh-CN" w:bidi="ar"/>
        </w:rPr>
        <w:t xml:space="preserve"> 1, no. 1 (2020): 73–84. https://doi.org/10.46510/jami.v1i1.20.</w:t>
      </w:r>
    </w:p>
    <w:p w14:paraId="37E93A3B">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szCs w:val="24"/>
          <w:lang w:val="en-US"/>
        </w:rPr>
      </w:pPr>
      <w:r>
        <w:rPr>
          <w:rFonts w:hint="default" w:ascii="Times New Roman" w:hAnsi="Times New Roman" w:eastAsia="Calibri" w:cs="Times New Roman"/>
          <w:b w:val="0"/>
          <w:bCs w:val="0"/>
          <w:kern w:val="0"/>
          <w:sz w:val="24"/>
          <w:szCs w:val="24"/>
          <w:lang w:val="en-US" w:eastAsia="zh-CN" w:bidi="ar"/>
        </w:rPr>
        <w:t xml:space="preserve">Yassinta Ananda, Novizal Wendry, and Lukmanul Hakim. “Tafsir Dan New Media: Studi Penafsiran Ustadz Zulkifli Muhammad Ali Di Youtube.” </w:t>
      </w:r>
      <w:r>
        <w:rPr>
          <w:rFonts w:hint="default" w:ascii="Times New Roman" w:hAnsi="Times New Roman" w:eastAsia="Calibri" w:cs="Times New Roman"/>
          <w:b w:val="0"/>
          <w:bCs w:val="0"/>
          <w:i/>
          <w:iCs/>
          <w:kern w:val="0"/>
          <w:sz w:val="24"/>
          <w:szCs w:val="24"/>
          <w:lang w:val="en-US" w:eastAsia="zh-CN" w:bidi="ar"/>
        </w:rPr>
        <w:t>Al-Manar: Jurnal Kajian Al-Quran Dan Hadits</w:t>
      </w:r>
      <w:r>
        <w:rPr>
          <w:rFonts w:hint="default" w:ascii="Times New Roman" w:hAnsi="Times New Roman" w:eastAsia="Calibri" w:cs="Times New Roman"/>
          <w:b w:val="0"/>
          <w:bCs w:val="0"/>
          <w:kern w:val="0"/>
          <w:sz w:val="24"/>
          <w:szCs w:val="24"/>
          <w:lang w:val="en-US" w:eastAsia="zh-CN" w:bidi="ar"/>
        </w:rPr>
        <w:t xml:space="preserve"> 8, no. 2 (2022): 1–26.</w:t>
      </w:r>
    </w:p>
    <w:p w14:paraId="78DE8B7F">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hint="default" w:ascii="Times New Roman" w:hAnsi="Times New Roman" w:cs="Times New Roman"/>
          <w:b w:val="0"/>
          <w:bCs w:val="0"/>
          <w:lang w:val="en-US"/>
        </w:rPr>
      </w:pPr>
      <w:r>
        <w:rPr>
          <w:rFonts w:hint="default" w:ascii="Times New Roman" w:hAnsi="Times New Roman" w:eastAsia="Calibri" w:cs="Times New Roman"/>
          <w:b w:val="0"/>
          <w:bCs w:val="0"/>
          <w:kern w:val="0"/>
          <w:sz w:val="24"/>
          <w:szCs w:val="24"/>
          <w:lang w:val="en-US" w:eastAsia="zh-CN" w:bidi="ar"/>
        </w:rPr>
        <w:t xml:space="preserve">Zahrani, Hani, and Rubini. “Pendekatan Hermeneutika Dalam Pengkajian Islam.” </w:t>
      </w:r>
      <w:r>
        <w:rPr>
          <w:rFonts w:hint="default" w:ascii="Times New Roman" w:hAnsi="Times New Roman" w:eastAsia="Calibri" w:cs="Times New Roman"/>
          <w:b w:val="0"/>
          <w:bCs w:val="0"/>
          <w:i/>
          <w:iCs/>
          <w:kern w:val="0"/>
          <w:sz w:val="24"/>
          <w:szCs w:val="24"/>
          <w:lang w:val="en-US" w:eastAsia="zh-CN" w:bidi="ar"/>
        </w:rPr>
        <w:t>SALIHA: Jurnal Pendidikan &amp; Agama Islam</w:t>
      </w:r>
      <w:r>
        <w:rPr>
          <w:rFonts w:hint="default" w:ascii="Times New Roman" w:hAnsi="Times New Roman" w:eastAsia="Calibri" w:cs="Times New Roman"/>
          <w:b w:val="0"/>
          <w:bCs w:val="0"/>
          <w:kern w:val="0"/>
          <w:sz w:val="24"/>
          <w:szCs w:val="24"/>
          <w:lang w:val="en-US" w:eastAsia="zh-CN" w:bidi="ar"/>
        </w:rPr>
        <w:t xml:space="preserve"> 6, no. 2 (2023): 171–96. https://doi.org/10.54396/saliha.v6i2.662.</w:t>
      </w:r>
    </w:p>
    <w:p w14:paraId="0478575F">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u w:val="single"/>
          <w:lang w:val="en-US"/>
        </w:rPr>
      </w:pPr>
      <w:r>
        <w:rPr>
          <w:rFonts w:hint="default" w:ascii="Times New Roman" w:hAnsi="Times New Roman" w:eastAsia="Calibri" w:cs="Times New Roman"/>
          <w:b w:val="0"/>
          <w:bCs w:val="0"/>
          <w:kern w:val="0"/>
          <w:sz w:val="24"/>
          <w:szCs w:val="22"/>
          <w:u w:val="single"/>
          <w:lang w:val="en-US" w:eastAsia="zh-CN" w:bidi="ar"/>
        </w:rPr>
        <w:fldChar w:fldCharType="end"/>
      </w:r>
    </w:p>
    <w:p w14:paraId="309A6CC6">
      <w:pPr>
        <w:keepNext w:val="0"/>
        <w:keepLines w:val="0"/>
        <w:widowControl w:val="0"/>
        <w:suppressLineNumbers w:val="0"/>
        <w:autoSpaceDE w:val="0"/>
        <w:autoSpaceDN w:val="0"/>
        <w:adjustRightInd w:val="0"/>
        <w:spacing w:before="0" w:beforeAutospacing="0" w:after="0" w:afterAutospacing="0" w:line="360" w:lineRule="auto"/>
        <w:ind w:left="480" w:right="0" w:hanging="480"/>
        <w:jc w:val="both"/>
        <w:rPr>
          <w:b w:val="0"/>
          <w:bCs w:val="0"/>
          <w:u w:val="single"/>
          <w:lang w:val="en-US"/>
        </w:rPr>
      </w:pPr>
    </w:p>
    <w:p w14:paraId="55A07AA9">
      <w:pPr>
        <w:keepNext w:val="0"/>
        <w:keepLines w:val="0"/>
        <w:widowControl w:val="0"/>
        <w:suppressLineNumbers w:val="0"/>
        <w:autoSpaceDE w:val="0"/>
        <w:autoSpaceDN w:val="0"/>
        <w:adjustRightInd w:val="0"/>
        <w:spacing w:before="0" w:beforeAutospacing="0" w:after="0" w:afterAutospacing="0" w:line="480" w:lineRule="auto"/>
        <w:ind w:left="480" w:right="0" w:hanging="480"/>
        <w:jc w:val="both"/>
        <w:rPr>
          <w:rFonts w:cs="Times New Roman"/>
          <w:b w:val="0"/>
          <w:bCs w:val="0"/>
          <w:lang w:val="en-US"/>
        </w:rPr>
      </w:pPr>
    </w:p>
    <w:p w14:paraId="772DE218">
      <w:r>
        <w:rPr>
          <w:rFonts w:hint="default" w:ascii="Times New Roman" w:hAnsi="Times New Roman" w:eastAsia="Calibri" w:cs="Arial"/>
          <w:b w:val="0"/>
          <w:bCs w:val="0"/>
          <w:kern w:val="0"/>
          <w:sz w:val="24"/>
          <w:szCs w:val="22"/>
          <w:u w:val="single"/>
          <w:lang w:val="en-US" w:eastAsia="en-US" w:bidi="ar"/>
        </w:rPr>
        <w:fldChar w:fldCharType="end"/>
      </w:r>
      <w:bookmarkStart w:id="0" w:name="_GoBack"/>
      <w:bookmarkEnd w:id="0"/>
    </w:p>
    <w:p w14:paraId="2BA7E0BE"/>
    <w:sectPr>
      <w:type w:val="continuous"/>
      <w:pgSz w:w="11910" w:h="16840"/>
      <w:pgMar w:top="2268" w:right="1701" w:bottom="2268" w:left="1701"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A77BA">
    <w:pPr>
      <w:pStyle w:val="3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8BBC4">
    <w:pPr>
      <w:pStyle w:val="3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553C5">
                          <w:pPr>
                            <w:pStyle w:val="37"/>
                          </w:pPr>
                          <w:r>
                            <w:fldChar w:fldCharType="begin"/>
                          </w:r>
                          <w:r>
                            <w:instrText xml:space="preserve"> PAGE  \* MERGEFORMAT </w:instrText>
                          </w:r>
                          <w:r>
                            <w:fldChar w:fldCharType="separate"/>
                          </w:r>
                          <w:r>
                            <w:t>clx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SVju0AAAAAUB&#10;AAAPAAAAAAAAAAEAIAAAACIAAABkcnMvZG93bnJldi54bWxQSwECFAAUAAAACACHTuJAH39QHyMC&#10;AABiBAAADgAAAAAAAAABACAAAAAfAQAAZHJzL2Uyb0RvYy54bWxQSwUGAAAAAAYABgBZAQAAtAUA&#10;AAAA&#10;">
              <v:fill on="f" focussize="0,0"/>
              <v:stroke on="f" weight="0.5pt"/>
              <v:imagedata o:title=""/>
              <o:lock v:ext="edit" aspectratio="f"/>
              <v:textbox inset="0mm,0mm,0mm,0mm" style="mso-fit-shape-to-text:t;">
                <w:txbxContent>
                  <w:p w14:paraId="581553C5">
                    <w:pPr>
                      <w:pStyle w:val="37"/>
                    </w:pPr>
                    <w:r>
                      <w:fldChar w:fldCharType="begin"/>
                    </w:r>
                    <w:r>
                      <w:instrText xml:space="preserve"> PAGE  \* MERGEFORMAT </w:instrText>
                    </w:r>
                    <w:r>
                      <w:fldChar w:fldCharType="separate"/>
                    </w:r>
                    <w:r>
                      <w:t>clx</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CC129">
    <w:pPr>
      <w:pStyle w:val="15"/>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F9D3B3">
                          <w:pPr>
                            <w:pStyle w:val="40"/>
                          </w:pPr>
                          <w:r>
                            <w:fldChar w:fldCharType="begin"/>
                          </w:r>
                          <w:r>
                            <w:instrText xml:space="preserve"> PAGE  \* MERGEFORMAT </w:instrText>
                          </w:r>
                          <w:r>
                            <w:fldChar w:fldCharType="separate"/>
                          </w:r>
                          <w:r>
                            <w:t>107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C80hprIgIA&#10;AGIEAAAOAAAAAAAAAAEAIAAAAB8BAABkcnMvZTJvRG9jLnhtbFBLBQYAAAAABgAGAFkBAACzBQAA&#10;AAA=&#10;">
              <v:fill on="f" focussize="0,0"/>
              <v:stroke on="f" weight="0.5pt"/>
              <v:imagedata o:title=""/>
              <o:lock v:ext="edit" aspectratio="f"/>
              <v:textbox inset="0mm,0mm,0mm,0mm" style="mso-fit-shape-to-text:t;">
                <w:txbxContent>
                  <w:p w14:paraId="59F9D3B3">
                    <w:pPr>
                      <w:pStyle w:val="40"/>
                    </w:pPr>
                    <w:r>
                      <w:fldChar w:fldCharType="begin"/>
                    </w:r>
                    <w:r>
                      <w:instrText xml:space="preserve"> PAGE  \* MERGEFORMAT </w:instrText>
                    </w:r>
                    <w:r>
                      <w:fldChar w:fldCharType="separate"/>
                    </w:r>
                    <w:r>
                      <w:t>107</w:t>
                    </w:r>
                    <w:r>
                      <w:fldChar w:fldCharType="end"/>
                    </w:r>
                  </w:p>
                </w:txbxContent>
              </v:textbox>
            </v:shape>
          </w:pict>
        </mc:Fallback>
      </mc:AlternateContent>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3225165" cy="2736215"/>
          <wp:effectExtent l="0" t="0" r="13335" b="6985"/>
          <wp:wrapNone/>
          <wp:docPr id="115" name="WordPictureWatermark14932"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WordPictureWatermark14932" descr="download (1)"/>
                  <pic:cNvPicPr>
                    <a:picLocks noChangeAspect="1"/>
                  </pic:cNvPicPr>
                </pic:nvPicPr>
                <pic:blipFill>
                  <a:blip r:embed="rId1">
                    <a:lum bright="69998" contrast="-70001"/>
                  </a:blip>
                  <a:stretch>
                    <a:fillRect/>
                  </a:stretch>
                </pic:blipFill>
                <pic:spPr>
                  <a:xfrm>
                    <a:off x="0" y="0"/>
                    <a:ext cx="3225165" cy="273621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029C1">
    <w:pPr>
      <w:pStyle w:val="15"/>
      <w:spacing w:line="14" w:lineRule="auto"/>
      <w:rPr>
        <w:rFonts w:hint="default"/>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220CC6"/>
    <w:multiLevelType w:val="multilevel"/>
    <w:tmpl w:val="BC220CC6"/>
    <w:lvl w:ilvl="0" w:tentative="0">
      <w:start w:val="1"/>
      <w:numFmt w:val="decimal"/>
      <w:lvlText w:val="%1."/>
      <w:lvlJc w:val="left"/>
      <w:pPr>
        <w:tabs>
          <w:tab w:val="left" w:pos="845"/>
        </w:tabs>
        <w:ind w:left="845" w:leftChars="0" w:hanging="425" w:firstLineChars="0"/>
      </w:pPr>
      <w:rPr>
        <w:rFonts w:hint="default"/>
      </w:rPr>
    </w:lvl>
    <w:lvl w:ilvl="1" w:tentative="0">
      <w:start w:val="1"/>
      <w:numFmt w:val="lowerLetter"/>
      <w:lvlText w:val="%2)"/>
      <w:lvlJc w:val="left"/>
      <w:pPr>
        <w:tabs>
          <w:tab w:val="left" w:pos="840"/>
        </w:tabs>
        <w:ind w:left="1260" w:leftChars="0" w:hanging="420" w:firstLineChars="0"/>
      </w:pPr>
      <w:rPr>
        <w:rFonts w:hint="default"/>
      </w:rPr>
    </w:lvl>
    <w:lvl w:ilvl="2" w:tentative="0">
      <w:start w:val="1"/>
      <w:numFmt w:val="lowerRoman"/>
      <w:lvlText w:val="%3."/>
      <w:lvlJc w:val="left"/>
      <w:pPr>
        <w:tabs>
          <w:tab w:val="left" w:pos="1260"/>
        </w:tabs>
        <w:ind w:left="1680" w:leftChars="0" w:hanging="420" w:firstLineChars="0"/>
      </w:pPr>
      <w:rPr>
        <w:rFonts w:hint="default"/>
      </w:rPr>
    </w:lvl>
    <w:lvl w:ilvl="3" w:tentative="0">
      <w:start w:val="1"/>
      <w:numFmt w:val="decimal"/>
      <w:lvlText w:val="%4."/>
      <w:lvlJc w:val="left"/>
      <w:pPr>
        <w:tabs>
          <w:tab w:val="left" w:pos="1680"/>
        </w:tabs>
        <w:ind w:left="2100" w:leftChars="0" w:hanging="420" w:firstLineChars="0"/>
      </w:pPr>
      <w:rPr>
        <w:rFonts w:hint="default"/>
      </w:rPr>
    </w:lvl>
    <w:lvl w:ilvl="4" w:tentative="0">
      <w:start w:val="1"/>
      <w:numFmt w:val="lowerLetter"/>
      <w:lvlText w:val="%5)"/>
      <w:lvlJc w:val="left"/>
      <w:pPr>
        <w:tabs>
          <w:tab w:val="left" w:pos="2100"/>
        </w:tabs>
        <w:ind w:left="2520" w:leftChars="0" w:hanging="420" w:firstLineChars="0"/>
      </w:pPr>
      <w:rPr>
        <w:rFonts w:hint="default"/>
      </w:rPr>
    </w:lvl>
    <w:lvl w:ilvl="5" w:tentative="0">
      <w:start w:val="1"/>
      <w:numFmt w:val="lowerRoman"/>
      <w:lvlText w:val="%6."/>
      <w:lvlJc w:val="left"/>
      <w:pPr>
        <w:tabs>
          <w:tab w:val="left" w:pos="2520"/>
        </w:tabs>
        <w:ind w:left="2940" w:leftChars="0" w:hanging="420" w:firstLineChars="0"/>
      </w:pPr>
      <w:rPr>
        <w:rFonts w:hint="default"/>
      </w:rPr>
    </w:lvl>
    <w:lvl w:ilvl="6" w:tentative="0">
      <w:start w:val="1"/>
      <w:numFmt w:val="decimal"/>
      <w:lvlText w:val="%7."/>
      <w:lvlJc w:val="left"/>
      <w:pPr>
        <w:tabs>
          <w:tab w:val="left" w:pos="2940"/>
        </w:tabs>
        <w:ind w:left="3360" w:leftChars="0" w:hanging="420" w:firstLineChars="0"/>
      </w:pPr>
      <w:rPr>
        <w:rFonts w:hint="default"/>
      </w:rPr>
    </w:lvl>
    <w:lvl w:ilvl="7" w:tentative="0">
      <w:start w:val="1"/>
      <w:numFmt w:val="lowerLetter"/>
      <w:lvlText w:val="%8)"/>
      <w:lvlJc w:val="left"/>
      <w:pPr>
        <w:tabs>
          <w:tab w:val="left" w:pos="3360"/>
        </w:tabs>
        <w:ind w:left="3780" w:leftChars="0" w:hanging="420" w:firstLineChars="0"/>
      </w:pPr>
      <w:rPr>
        <w:rFonts w:hint="default"/>
      </w:rPr>
    </w:lvl>
    <w:lvl w:ilvl="8" w:tentative="0">
      <w:start w:val="1"/>
      <w:numFmt w:val="lowerRoman"/>
      <w:lvlText w:val="%9."/>
      <w:lvlJc w:val="left"/>
      <w:pPr>
        <w:tabs>
          <w:tab w:val="left" w:pos="3780"/>
        </w:tabs>
        <w:ind w:left="4200" w:leftChars="0" w:hanging="420" w:firstLineChars="0"/>
      </w:pPr>
      <w:rPr>
        <w:rFonts w:hint="default"/>
      </w:rPr>
    </w:lvl>
  </w:abstractNum>
  <w:abstractNum w:abstractNumId="1">
    <w:nsid w:val="BED0F853"/>
    <w:multiLevelType w:val="singleLevel"/>
    <w:tmpl w:val="BED0F853"/>
    <w:lvl w:ilvl="0" w:tentative="0">
      <w:start w:val="1"/>
      <w:numFmt w:val="upperLetter"/>
      <w:lvlText w:val="%1."/>
      <w:lvlJc w:val="left"/>
      <w:pPr>
        <w:tabs>
          <w:tab w:val="left" w:pos="425"/>
        </w:tabs>
        <w:ind w:left="425" w:leftChars="0" w:hanging="425" w:firstLineChars="0"/>
      </w:pPr>
      <w:rPr>
        <w:rFonts w:hint="default" w:ascii="Times New Roman" w:hAnsi="Times New Roman" w:cs="Times New Roman"/>
        <w:sz w:val="24"/>
        <w:szCs w:val="24"/>
      </w:rPr>
    </w:lvl>
  </w:abstractNum>
  <w:abstractNum w:abstractNumId="2">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3">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4">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5">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6">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7">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8">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9">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10">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1">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2">
    <w:nsid w:val="72631C4C"/>
    <w:multiLevelType w:val="singleLevel"/>
    <w:tmpl w:val="72631C4C"/>
    <w:lvl w:ilvl="0" w:tentative="0">
      <w:start w:val="1"/>
      <w:numFmt w:val="lowerLetter"/>
      <w:lvlText w:val="%1."/>
      <w:lvlJc w:val="left"/>
      <w:pPr>
        <w:tabs>
          <w:tab w:val="left" w:pos="1265"/>
        </w:tabs>
        <w:ind w:left="1265" w:leftChars="0" w:hanging="425" w:firstLineChars="0"/>
      </w:pPr>
      <w:rPr>
        <w:rFonts w:hint="default"/>
      </w:rPr>
    </w:lvl>
  </w:abstractNum>
  <w:num w:numId="1">
    <w:abstractNumId w:val="11"/>
  </w:num>
  <w:num w:numId="2">
    <w:abstractNumId w:val="9"/>
  </w:num>
  <w:num w:numId="3">
    <w:abstractNumId w:val="8"/>
  </w:num>
  <w:num w:numId="4">
    <w:abstractNumId w:val="7"/>
  </w:num>
  <w:num w:numId="5">
    <w:abstractNumId w:val="6"/>
  </w:num>
  <w:num w:numId="6">
    <w:abstractNumId w:val="10"/>
  </w:num>
  <w:num w:numId="7">
    <w:abstractNumId w:val="5"/>
  </w:num>
  <w:num w:numId="8">
    <w:abstractNumId w:val="4"/>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2"/>
  <w:displayVerticalDrawingGridEvery w:val="1"/>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937C01"/>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4B937C01"/>
    <w:rsid w:val="65325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qFormat="1"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unhideWhenUsed="0" w:uiPriority="0" w:semiHidden="0" w:name="Table Columns 2"/>
    <w:lsdException w:unhideWhenUsed="0" w:uiPriority="0" w:semiHidden="0" w:name="Table Columns 3"/>
    <w:lsdException w:qFormat="1"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qFormat="1" w:unhideWhenUsed="0" w:uiPriority="0" w:semiHidden="0" w:name="Table List 2"/>
    <w:lsdException w:unhideWhenUsed="0" w:uiPriority="0" w:semiHidden="0" w:name="Table List 3"/>
    <w:lsdException w:qFormat="1"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qFormat="1" w:unhideWhenUsed="0" w:uiPriority="0" w:semiHidden="0" w:name="Table List 8"/>
    <w:lsdException w:unhideWhenUsed="0" w:uiPriority="0" w:semiHidden="0" w:name="Table 3D effects 1"/>
    <w:lsdException w:qFormat="1" w:unhideWhenUsed="0" w:uiPriority="0" w:semiHidden="0" w:name="Table 3D effects 2"/>
    <w:lsdException w:qFormat="1" w:unhideWhenUsed="0" w:uiPriority="0" w:semiHidden="0" w:name="Table 3D effects 3"/>
    <w:lsdException w:unhideWhenUsed="0" w:uiPriority="0" w:semiHidden="0" w:name="Table Contemporary"/>
    <w:lsdException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qFormat="1"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4"/>
      <w:szCs w:val="22"/>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uiPriority w:val="0"/>
    <w:rPr>
      <w:sz w:val="24"/>
      <w:szCs w:val="24"/>
    </w:rPr>
  </w:style>
  <w:style w:type="paragraph" w:styleId="86">
    <w:name w:val="Normal Indent"/>
    <w:basedOn w:val="1"/>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2025-03-02T09:07:00Z</dcterms:created>
  <dc:creator>HP</dc:creator>
  <cp:lastModifiedBy>HP</cp:lastModifiedBy>
  <dcterms:modified xsi:type="dcterms:W3CDTF">2025-03-02T09:08:17Z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E57AF872EAEE4B0C9A6E564D6FF6BF83_11</vt:lpwstr>
  </property>
</Properties>
</file>