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D" w:rsidRPr="002D6F0E" w:rsidRDefault="00173B0B" w:rsidP="00173B0B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6F0E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173B0B" w:rsidRPr="002D6F0E" w:rsidRDefault="00173B0B" w:rsidP="00173B0B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6F0E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173B0B" w:rsidRDefault="00173B0B" w:rsidP="00173B0B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73B0B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proofErr w:type="spellStart"/>
      <w:r w:rsidRPr="00173B0B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173B0B" w:rsidRDefault="00173B0B" w:rsidP="00A2444D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2444D">
        <w:rPr>
          <w:rFonts w:asciiTheme="majorBidi" w:hAnsiTheme="majorBidi" w:cstheme="majorBidi"/>
          <w:sz w:val="24"/>
          <w:szCs w:val="24"/>
        </w:rPr>
        <w:tab/>
        <w:t xml:space="preserve">   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 Quran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TK </w:t>
      </w:r>
      <w:proofErr w:type="spellStart"/>
      <w:r>
        <w:rPr>
          <w:rFonts w:asciiTheme="majorBidi" w:hAnsiTheme="majorBidi" w:cstheme="majorBidi"/>
          <w:sz w:val="24"/>
          <w:szCs w:val="24"/>
        </w:rPr>
        <w:t>Qurrata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A’yun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Padang,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A2444D" w:rsidRDefault="00173B0B" w:rsidP="00C0209D">
      <w:pPr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Pengidentifikasian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spesifikasi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</w:t>
      </w:r>
      <w:r w:rsidR="006C7EC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C7E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7EC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C7E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7EC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C7E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7EC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6C7EC7">
        <w:rPr>
          <w:rFonts w:asciiTheme="majorBidi" w:hAnsiTheme="majorBidi" w:cstheme="majorBidi"/>
          <w:sz w:val="24"/>
          <w:szCs w:val="24"/>
        </w:rPr>
        <w:t xml:space="preserve"> al- Quran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2444D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A244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444D">
        <w:rPr>
          <w:rFonts w:ascii="Times New Roman" w:eastAsia="Times New Roman" w:hAnsi="Times New Roman" w:cs="Times New Roman"/>
          <w:sz w:val="24"/>
          <w:szCs w:val="24"/>
        </w:rPr>
        <w:t>rang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terhimpun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teriventaris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kondisi-kondisi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09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0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09D">
        <w:rPr>
          <w:rFonts w:ascii="Times New Roman" w:eastAsia="Times New Roman" w:hAnsi="Times New Roman" w:cs="Times New Roman"/>
          <w:i/>
          <w:iCs/>
          <w:sz w:val="24"/>
          <w:szCs w:val="24"/>
        </w:rPr>
        <w:t>pleacement</w:t>
      </w:r>
      <w:proofErr w:type="spellEnd"/>
      <w:r w:rsidR="00C0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209D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C0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090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A2444D">
        <w:rPr>
          <w:rFonts w:ascii="Times New Roman" w:eastAsia="Times New Roman" w:hAnsi="Times New Roman" w:cs="Times New Roman"/>
          <w:sz w:val="24"/>
          <w:szCs w:val="24"/>
        </w:rPr>
        <w:t>hadap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44D">
        <w:rPr>
          <w:rFonts w:ascii="Times New Roman" w:eastAsia="Times New Roman" w:hAnsi="Times New Roman" w:cs="Times New Roman"/>
          <w:sz w:val="24"/>
          <w:szCs w:val="24"/>
        </w:rPr>
        <w:t>dilan</w:t>
      </w:r>
      <w:r w:rsidR="002C749F">
        <w:rPr>
          <w:rFonts w:ascii="Times New Roman" w:eastAsia="Times New Roman" w:hAnsi="Times New Roman" w:cs="Times New Roman"/>
          <w:sz w:val="24"/>
          <w:szCs w:val="24"/>
        </w:rPr>
        <w:t>jutkan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majlis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guru.</w:t>
      </w:r>
      <w:r w:rsidR="00A2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B0B" w:rsidRDefault="00A2444D" w:rsidP="00AC6627">
      <w:pPr>
        <w:spacing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2. </w:t>
      </w:r>
      <w:proofErr w:type="spellStart"/>
      <w:r>
        <w:rPr>
          <w:rFonts w:asciiTheme="majorBidi" w:hAnsiTheme="majorBidi" w:cstheme="majorBidi"/>
          <w:sz w:val="24"/>
          <w:szCs w:val="24"/>
        </w:rPr>
        <w:t>Pemilihan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al-Quran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62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AC66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: 1)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09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09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ar</w:t>
      </w:r>
      <w:r w:rsidR="006C7EC7">
        <w:rPr>
          <w:rFonts w:ascii="Times New Roman" w:eastAsia="Times New Roman" w:hAnsi="Times New Roman" w:cs="Times New Roman"/>
          <w:sz w:val="24"/>
          <w:szCs w:val="24"/>
        </w:rPr>
        <w:t>tinya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rentan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09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 factor </w:t>
      </w:r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saya</w:t>
      </w:r>
      <w:r w:rsidR="00AC6627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didi</w:t>
      </w:r>
      <w:r w:rsidR="006C7EC7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saya</w:t>
      </w:r>
      <w:r w:rsidR="00AC6627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guru, 4)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factor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ketidakmandirian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62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C6627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  <w:r w:rsidR="00F707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62F" w:rsidRPr="00FC47D6" w:rsidRDefault="00DC3090" w:rsidP="00316DCA">
      <w:pPr>
        <w:tabs>
          <w:tab w:val="left" w:pos="567"/>
        </w:tabs>
        <w:spacing w:after="0" w:line="480" w:lineRule="auto"/>
        <w:ind w:left="567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teacher centered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Morning Activity </w:t>
      </w:r>
      <w:r w:rsidR="002C749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49F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49F">
        <w:rPr>
          <w:rFonts w:ascii="Times New Roman" w:eastAsia="Times New Roman" w:hAnsi="Times New Roman" w:cs="Times New Roman"/>
          <w:i/>
          <w:sz w:val="24"/>
          <w:szCs w:val="24"/>
        </w:rPr>
        <w:t>Morning 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memprioritaskan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="002C562F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C5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2F">
        <w:rPr>
          <w:rFonts w:ascii="Times New Roman" w:eastAsia="Times New Roman" w:hAnsi="Times New Roman" w:cs="Times New Roman"/>
          <w:sz w:val="24"/>
          <w:szCs w:val="24"/>
        </w:rPr>
        <w:t>Pembiasaan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pembiasaan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Qurrata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A’yun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al-Quran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berprilaku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terpuji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berteman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4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bergaul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kalimat-kalimat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C749F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shaleh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shalehah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keteladanan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49F" w:rsidRP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keteladanan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Qurrata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A’yun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49F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i/>
          <w:iCs/>
          <w:sz w:val="24"/>
          <w:szCs w:val="24"/>
        </w:rPr>
        <w:t>performene</w:t>
      </w:r>
      <w:proofErr w:type="spellEnd"/>
      <w:r w:rsidR="002C749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kepribadian-kepribadian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cerita-cerita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ilustrasi-ilustrasi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Keteladanan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i/>
          <w:iCs/>
          <w:sz w:val="24"/>
          <w:szCs w:val="24"/>
        </w:rPr>
        <w:t>performene</w:t>
      </w:r>
      <w:proofErr w:type="spellEnd"/>
      <w:r w:rsidR="002C7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C749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penampilan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4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contoh-contoh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berpakaian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menutup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aurat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ramah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lembut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C749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="002C7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B33" w:rsidRDefault="00F707D2" w:rsidP="00E65E0C">
      <w:pPr>
        <w:tabs>
          <w:tab w:val="left" w:pos="567"/>
        </w:tabs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al-Quran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EC7">
        <w:rPr>
          <w:rFonts w:ascii="Times New Roman" w:eastAsia="Times New Roman" w:hAnsi="Times New Roman" w:cs="Times New Roman"/>
          <w:sz w:val="24"/>
          <w:szCs w:val="24"/>
        </w:rPr>
        <w:t>emilih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EC7" w:rsidRP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EC7">
        <w:rPr>
          <w:rFonts w:ascii="Times New Roman" w:eastAsia="Times New Roman" w:hAnsi="Times New Roman" w:cs="Times New Roman"/>
          <w:sz w:val="24"/>
          <w:szCs w:val="24"/>
        </w:rPr>
        <w:t>embagi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06C7EC7">
        <w:rPr>
          <w:rFonts w:ascii="Times New Roman" w:eastAsia="Times New Roman" w:hAnsi="Times New Roman" w:cs="Times New Roman"/>
          <w:sz w:val="24"/>
          <w:szCs w:val="24"/>
        </w:rPr>
        <w:t>embagi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7EC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C7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D0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88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pertama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pemula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prainstruksional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90B33" w:rsidRP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berdo’a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merapikan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Kedua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Intruksional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:  a.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Pemanggilan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Peragaan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edia, c.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Ketiga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B33" w:rsidRPr="002C749F" w:rsidRDefault="00F92E46" w:rsidP="00661BB3">
      <w:pPr>
        <w:tabs>
          <w:tab w:val="left" w:pos="567"/>
        </w:tabs>
        <w:spacing w:after="0" w:line="48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2C749F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al-Quran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0B33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memanggil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19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privating</w:t>
      </w:r>
      <w:proofErr w:type="spellEnd"/>
      <w:r w:rsidR="00190B3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>Sedangkan</w:t>
      </w:r>
      <w:proofErr w:type="spellEnd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>teknik</w:t>
      </w:r>
      <w:proofErr w:type="spellEnd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>dilakukan</w:t>
      </w:r>
      <w:proofErr w:type="spellEnd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 xml:space="preserve"> guru </w:t>
      </w:r>
      <w:proofErr w:type="spellStart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>dalam</w:t>
      </w:r>
      <w:proofErr w:type="spellEnd"/>
      <w:r w:rsidR="002C74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>menerapkan</w:t>
      </w:r>
      <w:proofErr w:type="spell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>metode</w:t>
      </w:r>
      <w:proofErr w:type="spell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>Iqra</w:t>
      </w:r>
      <w:proofErr w:type="spell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’ </w:t>
      </w:r>
      <w:proofErr w:type="spellStart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>tersebut</w:t>
      </w:r>
      <w:proofErr w:type="spell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>adalah</w:t>
      </w:r>
      <w:proofErr w:type="spell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>dengan</w:t>
      </w:r>
      <w:proofErr w:type="spell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1)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Hijaiyyah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’ 1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3, 3)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C5785">
        <w:rPr>
          <w:rFonts w:ascii="Times New Roman" w:eastAsia="Times New Roman" w:hAnsi="Times New Roman" w:cs="Times New Roman"/>
          <w:sz w:val="24"/>
          <w:szCs w:val="24"/>
        </w:rPr>
        <w:t xml:space="preserve"> al- Quran.</w:t>
      </w:r>
      <w:r w:rsidR="002C57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614E7" w:rsidRDefault="00190B33" w:rsidP="00F77BC1">
      <w:pPr>
        <w:tabs>
          <w:tab w:val="left" w:pos="7307"/>
        </w:tabs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norma-norma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Quran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4E7">
        <w:rPr>
          <w:rFonts w:ascii="Times New Roman" w:eastAsia="Times New Roman" w:hAnsi="Times New Roman" w:cs="Times New Roman"/>
          <w:sz w:val="24"/>
          <w:szCs w:val="24"/>
        </w:rPr>
        <w:t>ilakukan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aspek-aspek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F614E7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="00F61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4E7">
        <w:rPr>
          <w:rFonts w:asciiTheme="majorBidi" w:hAnsiTheme="majorBidi" w:cstheme="majorBidi"/>
          <w:sz w:val="24"/>
          <w:szCs w:val="24"/>
        </w:rPr>
        <w:t>penilai</w:t>
      </w:r>
      <w:proofErr w:type="spellEnd"/>
      <w:r w:rsidR="00F61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4E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61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4E7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="00F614E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614E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F61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4E7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="00F614E7">
        <w:rPr>
          <w:rFonts w:asciiTheme="majorBidi" w:hAnsiTheme="majorBidi" w:cstheme="majorBidi"/>
          <w:sz w:val="24"/>
          <w:szCs w:val="24"/>
        </w:rPr>
        <w:t>,</w:t>
      </w:r>
      <w:r w:rsidR="00F614E7" w:rsidRP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E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65E0C">
        <w:rPr>
          <w:rFonts w:ascii="Times New Roman" w:eastAsia="Times New Roman" w:hAnsi="Times New Roman" w:cs="Times New Roman"/>
          <w:sz w:val="24"/>
          <w:szCs w:val="24"/>
        </w:rPr>
        <w:t xml:space="preserve"> f)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4E7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F61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B4B" w:rsidRDefault="00787B4B" w:rsidP="00C0209D">
      <w:pPr>
        <w:tabs>
          <w:tab w:val="left" w:pos="7307"/>
        </w:tabs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Qurrata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A’yun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787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akhlakul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’, 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7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E65E0C" w:rsidRPr="00E65E0C" w:rsidRDefault="00E65E0C" w:rsidP="00E65E0C">
      <w:pPr>
        <w:spacing w:after="0" w:line="48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="00B76E89">
        <w:rPr>
          <w:rFonts w:ascii="Times New Roman" w:eastAsia="Times New Roman" w:hAnsi="Times New Roman" w:cs="Times New Roman"/>
          <w:b/>
          <w:bCs/>
          <w:sz w:val="24"/>
          <w:szCs w:val="24"/>
        </w:rPr>
        <w:t>Rekomendasi</w:t>
      </w:r>
      <w:proofErr w:type="spellEnd"/>
    </w:p>
    <w:p w:rsidR="00E65E0C" w:rsidRDefault="00E65E0C" w:rsidP="00E65E0C">
      <w:pPr>
        <w:spacing w:after="0" w:line="48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6E89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6E89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76E89" w:rsidRPr="00B76E89" w:rsidRDefault="00E65E0C" w:rsidP="00B76E8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E8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76E89"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 w:rsidRPr="00B76E89">
        <w:rPr>
          <w:rFonts w:ascii="Times New Roman" w:eastAsia="Times New Roman" w:hAnsi="Times New Roman" w:cs="Times New Roman"/>
          <w:sz w:val="24"/>
          <w:szCs w:val="24"/>
        </w:rPr>
        <w:t>Qurrata</w:t>
      </w:r>
      <w:proofErr w:type="spellEnd"/>
      <w:r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E89">
        <w:rPr>
          <w:rFonts w:ascii="Times New Roman" w:eastAsia="Times New Roman" w:hAnsi="Times New Roman" w:cs="Times New Roman"/>
          <w:sz w:val="24"/>
          <w:szCs w:val="24"/>
        </w:rPr>
        <w:t>A’yun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E89" w:rsidRPr="00B76E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6E89" w:rsidRDefault="00B76E89" w:rsidP="00B76E8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Qurrata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A’yun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shaleh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shalehah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ditangan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guru-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gurulah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emas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mencetak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Qurani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amaliyah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memperbanyak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media-media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huruf-huruf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al- Quran,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hadis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keutamaan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al-Quran,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bentuk-bentuk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perobahan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al-Quran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. 2)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anak-anak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huruf-huruf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al-Quran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membacanya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="00344969" w:rsidRPr="00B76E89">
        <w:rPr>
          <w:rFonts w:ascii="Times New Roman" w:eastAsia="Times New Roman" w:hAnsi="Times New Roman" w:cs="Times New Roman"/>
          <w:sz w:val="24"/>
          <w:szCs w:val="24"/>
        </w:rPr>
        <w:t xml:space="preserve">. 3) </w:t>
      </w:r>
      <w:proofErr w:type="spellStart"/>
      <w:proofErr w:type="gram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proofErr w:type="gram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shalat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Dhuha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FAD" w:rsidRPr="00B76E89" w:rsidRDefault="00E320ED" w:rsidP="00B76E8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Kegiatan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serimonial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al-Quran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16DC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316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DC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316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DCA">
        <w:rPr>
          <w:rFonts w:ascii="Times New Roman" w:eastAsia="Times New Roman" w:hAnsi="Times New Roman" w:cs="Times New Roman"/>
          <w:sz w:val="24"/>
          <w:szCs w:val="24"/>
        </w:rPr>
        <w:t>dipungkiri</w:t>
      </w:r>
      <w:proofErr w:type="spellEnd"/>
      <w:r w:rsidR="00316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DCA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359A" w:rsidRPr="00B7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C36" w:rsidRPr="00D62C36" w:rsidRDefault="00344969" w:rsidP="00764314">
      <w:pPr>
        <w:spacing w:after="0" w:line="480" w:lineRule="auto"/>
        <w:ind w:left="567" w:hanging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C3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314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="0091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5314">
        <w:rPr>
          <w:rFonts w:ascii="Times New Roman" w:eastAsia="Times New Roman" w:hAnsi="Times New Roman" w:cs="Times New Roman"/>
          <w:sz w:val="24"/>
          <w:szCs w:val="24"/>
        </w:rPr>
        <w:t>Q</w:t>
      </w:r>
      <w:r w:rsidR="00F92E46">
        <w:rPr>
          <w:rFonts w:ascii="Times New Roman" w:eastAsia="Times New Roman" w:hAnsi="Times New Roman" w:cs="Times New Roman"/>
          <w:sz w:val="24"/>
          <w:szCs w:val="24"/>
        </w:rPr>
        <w:t>urani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meng</w:t>
      </w:r>
      <w:r w:rsidR="00D62C36">
        <w:rPr>
          <w:rFonts w:ascii="Times New Roman" w:eastAsia="Times New Roman" w:hAnsi="Times New Roman" w:cs="Times New Roman"/>
          <w:i/>
          <w:iCs/>
          <w:sz w:val="24"/>
          <w:szCs w:val="24"/>
        </w:rPr>
        <w:t>kontinuitas</w:t>
      </w:r>
      <w:r w:rsidR="00D62C36" w:rsidRPr="00D62C36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C36">
        <w:rPr>
          <w:rFonts w:ascii="Times New Roman" w:eastAsia="Times New Roman" w:hAnsi="Times New Roman" w:cs="Times New Roman"/>
          <w:sz w:val="24"/>
          <w:szCs w:val="24"/>
        </w:rPr>
        <w:t>disekolah</w:t>
      </w:r>
      <w:proofErr w:type="spellEnd"/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31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76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31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76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314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="0076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314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="007643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B33" w:rsidRPr="00190B33" w:rsidRDefault="00190B33" w:rsidP="00190B33">
      <w:pPr>
        <w:tabs>
          <w:tab w:val="left" w:pos="1134"/>
        </w:tabs>
        <w:spacing w:after="0" w:line="48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344969" w:rsidRDefault="0034496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69" w:rsidRDefault="0034496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69" w:rsidRDefault="0034496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69" w:rsidRDefault="0034496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69" w:rsidRDefault="0034496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69" w:rsidRDefault="0034496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B76E89">
      <w:pPr>
        <w:spacing w:after="0" w:line="48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B76E89">
      <w:pPr>
        <w:spacing w:after="0" w:line="48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E89" w:rsidRDefault="00B76E89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DD6" w:rsidRDefault="009D7DD6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</w:t>
      </w:r>
      <w:r w:rsidRPr="00AA7AD8">
        <w:rPr>
          <w:rFonts w:ascii="Times New Roman" w:hAnsi="Times New Roman"/>
          <w:b/>
          <w:bCs/>
          <w:sz w:val="24"/>
          <w:szCs w:val="24"/>
          <w:lang w:val="id-ID"/>
        </w:rPr>
        <w:t>AFTAR KEPUSTAKAAN</w:t>
      </w:r>
    </w:p>
    <w:p w:rsidR="009D7DD6" w:rsidRPr="006B2648" w:rsidRDefault="009D7DD6" w:rsidP="009D7DD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DD6" w:rsidRPr="00BB3F89" w:rsidRDefault="009D7DD6" w:rsidP="009D7DD6">
      <w:pPr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Musthafa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Maraghi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Maraghi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>
        <w:rPr>
          <w:rFonts w:asciiTheme="majorBidi" w:hAnsiTheme="majorBidi" w:cstheme="majorBidi"/>
          <w:sz w:val="24"/>
          <w:szCs w:val="24"/>
        </w:rPr>
        <w:t>Toha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Putra</w:t>
      </w:r>
      <w:proofErr w:type="gramStart"/>
      <w:r>
        <w:rPr>
          <w:rFonts w:asciiTheme="majorBidi" w:hAnsiTheme="majorBidi" w:cstheme="majorBidi"/>
          <w:sz w:val="24"/>
          <w:szCs w:val="24"/>
        </w:rPr>
        <w:t>,1988</w:t>
      </w:r>
      <w:proofErr w:type="gramEnd"/>
    </w:p>
    <w:p w:rsidR="009D7DD6" w:rsidRPr="00BB3F89" w:rsidRDefault="009D7DD6" w:rsidP="009D7DD6">
      <w:pPr>
        <w:pStyle w:val="FootnoteText"/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gramStart"/>
      <w:r w:rsidRPr="00BB3F89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B3F89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2001 </w:t>
      </w:r>
    </w:p>
    <w:p w:rsidR="009D7DD6" w:rsidRDefault="009D7DD6" w:rsidP="009D7DD6">
      <w:pPr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Bungin</w:t>
      </w:r>
      <w:proofErr w:type="spellEnd"/>
      <w:proofErr w:type="gramStart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proofErr w:type="gram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B3F89">
        <w:rPr>
          <w:rFonts w:asciiTheme="majorBidi" w:hAnsiTheme="majorBidi" w:cstheme="majorBidi"/>
          <w:sz w:val="24"/>
          <w:szCs w:val="24"/>
        </w:rPr>
        <w:t xml:space="preserve">Jakarta:  PT Raja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 2006</w:t>
      </w:r>
    </w:p>
    <w:p w:rsidR="009D7DD6" w:rsidRPr="00BB3F89" w:rsidRDefault="009D7DD6" w:rsidP="009D7DD6">
      <w:pPr>
        <w:pStyle w:val="FootnoteText"/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Cece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Wijaya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proofErr w:type="gram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3F89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 xml:space="preserve">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>, 1992</w:t>
      </w:r>
    </w:p>
    <w:p w:rsidR="009D7DD6" w:rsidRPr="00BB3F89" w:rsidRDefault="009D7DD6" w:rsidP="009D7DD6">
      <w:pPr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Agama RI, </w:t>
      </w:r>
      <w:r w:rsidRPr="00BB3F89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qur’an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Departemen Pendidikan Nasional,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>Kamus Besar Bahasa Indonesia,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  <w:lang w:val="id-ID"/>
        </w:rPr>
        <w:t>Jakart</w:t>
      </w:r>
      <w:r>
        <w:rPr>
          <w:rFonts w:asciiTheme="majorBidi" w:hAnsiTheme="majorBidi" w:cstheme="majorBidi"/>
          <w:sz w:val="24"/>
          <w:szCs w:val="24"/>
          <w:lang w:val="id-ID"/>
        </w:rPr>
        <w:t>a: Balai Pustaka, 2002</w:t>
      </w:r>
    </w:p>
    <w:p w:rsidR="009D7DD6" w:rsidRPr="002366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Hadari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Nawawi</w:t>
      </w:r>
      <w:proofErr w:type="spellEnd"/>
      <w:proofErr w:type="gramStart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proofErr w:type="gram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Lapangan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</w:rPr>
        <w:t xml:space="preserve">Jakarta: Gajah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mad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</w:t>
      </w:r>
      <w:proofErr w:type="gramStart"/>
      <w:r>
        <w:rPr>
          <w:rFonts w:asciiTheme="majorBidi" w:hAnsiTheme="majorBidi" w:cstheme="majorBidi"/>
          <w:sz w:val="24"/>
          <w:szCs w:val="24"/>
        </w:rPr>
        <w:t>,1996</w:t>
      </w:r>
      <w:proofErr w:type="gramEnd"/>
    </w:p>
    <w:p w:rsidR="009D7DD6" w:rsidRPr="00C05E2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344969" w:rsidRDefault="00344969" w:rsidP="00344969">
      <w:pPr>
        <w:pStyle w:val="FootnoteText"/>
        <w:spacing w:after="3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Sumber</w:t>
      </w:r>
      <w:proofErr w:type="spellEnd"/>
      <w:r>
        <w:t xml:space="preserve"> </w:t>
      </w:r>
      <w:hyperlink r:id="rId8" w:history="1">
        <w:r w:rsidR="009D7DD6" w:rsidRPr="00C05E2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lang w:val="id-ID"/>
          </w:rPr>
          <w:t>http://www.bkkbn.go.id</w:t>
        </w:r>
      </w:hyperlink>
      <w:r w:rsidR="009D7DD6" w:rsidRPr="00F62B72">
        <w:rPr>
          <w:rFonts w:ascii="Times New Roman" w:hAnsi="Times New Roman"/>
          <w:sz w:val="24"/>
          <w:szCs w:val="24"/>
          <w:lang w:val="id-ID"/>
        </w:rPr>
        <w:t>, 2004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 w:rsidR="00D014F6">
        <w:rPr>
          <w:rFonts w:ascii="Times New Roman" w:hAnsi="Times New Roman"/>
          <w:sz w:val="24"/>
          <w:szCs w:val="24"/>
        </w:rPr>
        <w:t xml:space="preserve"> 2010</w:t>
      </w:r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BB3F89">
        <w:rPr>
          <w:rFonts w:asciiTheme="majorBidi" w:hAnsiTheme="majorBidi" w:cstheme="majorBidi"/>
          <w:sz w:val="24"/>
          <w:szCs w:val="24"/>
        </w:rPr>
        <w:t xml:space="preserve">mam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Nawawi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Mukhtasar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Intisari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Riyadush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Shalihin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</w:rPr>
        <w:t>Su</w:t>
      </w:r>
      <w:r>
        <w:rPr>
          <w:rFonts w:asciiTheme="majorBidi" w:hAnsiTheme="majorBidi" w:cstheme="majorBidi"/>
          <w:sz w:val="24"/>
          <w:szCs w:val="24"/>
        </w:rPr>
        <w:t>rabaya: Al-</w:t>
      </w:r>
      <w:proofErr w:type="spellStart"/>
      <w:r>
        <w:rPr>
          <w:rFonts w:asciiTheme="majorBidi" w:hAnsiTheme="majorBidi" w:cstheme="majorBidi"/>
          <w:sz w:val="24"/>
          <w:szCs w:val="24"/>
        </w:rPr>
        <w:t>Ikhlas</w:t>
      </w:r>
      <w:proofErr w:type="spellEnd"/>
      <w:r>
        <w:rPr>
          <w:rFonts w:asciiTheme="majorBidi" w:hAnsiTheme="majorBidi" w:cstheme="majorBidi"/>
          <w:sz w:val="24"/>
          <w:szCs w:val="24"/>
        </w:rPr>
        <w:t>, 1993</w:t>
      </w:r>
    </w:p>
    <w:p w:rsidR="009D7DD6" w:rsidRPr="00BB3F89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Default="009D7DD6" w:rsidP="009D7DD6">
      <w:pPr>
        <w:spacing w:after="0"/>
        <w:ind w:left="709" w:hanging="709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Lilik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Azizah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Efektivitas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Baca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Tulis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Qur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Buku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Barqy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Taman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Pendidikan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Qur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an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Nurut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taqwa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Malang, </w:t>
      </w: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Skripsi</w:t>
      </w:r>
      <w:proofErr w:type="spellEnd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Malang : </w:t>
      </w:r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Jurusan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Sastra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Arab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Fakultas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S</w:t>
      </w:r>
      <w:r>
        <w:rPr>
          <w:rFonts w:asciiTheme="majorBidi" w:eastAsia="Times New Roman" w:hAnsiTheme="majorBidi" w:cstheme="majorBidi"/>
          <w:sz w:val="24"/>
          <w:szCs w:val="24"/>
        </w:rPr>
        <w:t>astra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Malang, 2006</w:t>
      </w:r>
    </w:p>
    <w:p w:rsidR="009D7DD6" w:rsidRPr="00BB3F89" w:rsidRDefault="009D7DD6" w:rsidP="009D7DD6">
      <w:pPr>
        <w:spacing w:after="0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9D7DD6" w:rsidRPr="002366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Lexi J. Moleong,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Metodologi Penelitian Kualitatif, </w:t>
      </w:r>
      <w:r w:rsidRPr="00BB3F89">
        <w:rPr>
          <w:rFonts w:asciiTheme="majorBidi" w:hAnsiTheme="majorBidi" w:cstheme="majorBidi"/>
          <w:sz w:val="24"/>
          <w:szCs w:val="24"/>
          <w:lang w:val="id-ID"/>
        </w:rPr>
        <w:t>Bandun</w:t>
      </w:r>
      <w:r>
        <w:rPr>
          <w:rFonts w:asciiTheme="majorBidi" w:hAnsiTheme="majorBidi" w:cstheme="majorBidi"/>
          <w:sz w:val="24"/>
          <w:szCs w:val="24"/>
          <w:lang w:val="id-ID"/>
        </w:rPr>
        <w:t>g: Remaja Rosydkarya, 200</w:t>
      </w:r>
    </w:p>
    <w:p w:rsidR="009D7DD6" w:rsidRPr="00EE3D04" w:rsidRDefault="009D7DD6" w:rsidP="009D7DD6">
      <w:pPr>
        <w:pStyle w:val="FootnoteText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7DD6" w:rsidRDefault="009D7DD6" w:rsidP="009D7DD6">
      <w:pPr>
        <w:pStyle w:val="FootnoteText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Basyirudin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arta: Quantum Press, 2002</w:t>
      </w:r>
    </w:p>
    <w:p w:rsidR="009D7DD6" w:rsidRPr="00BB3F89" w:rsidRDefault="009D7DD6" w:rsidP="009D7DD6">
      <w:pPr>
        <w:pStyle w:val="FootnoteText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Mardalis,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Penelitian, </w:t>
      </w:r>
      <w:r w:rsidRPr="00BB3F89">
        <w:rPr>
          <w:rFonts w:asciiTheme="majorBidi" w:hAnsiTheme="majorBidi" w:cstheme="majorBidi"/>
          <w:sz w:val="24"/>
          <w:szCs w:val="24"/>
          <w:lang w:val="id-ID"/>
        </w:rPr>
        <w:t>Ja</w:t>
      </w:r>
      <w:r>
        <w:rPr>
          <w:rFonts w:asciiTheme="majorBidi" w:hAnsiTheme="majorBidi" w:cstheme="majorBidi"/>
          <w:sz w:val="24"/>
          <w:szCs w:val="24"/>
          <w:lang w:val="id-ID"/>
        </w:rPr>
        <w:t>karta: Bumi Aksara, 1993</w:t>
      </w:r>
    </w:p>
    <w:p w:rsidR="009D7DD6" w:rsidRPr="00236604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EE3D04" w:rsidRDefault="009D7DD6" w:rsidP="009D7DD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E3D04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Samak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Islam (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Pannun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Tadris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 Malaysia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Kualalumpur</w:t>
      </w:r>
      <w:proofErr w:type="spellEnd"/>
      <w:r w:rsidRPr="00EE3D04">
        <w:rPr>
          <w:rFonts w:asciiTheme="majorBidi" w:hAnsiTheme="majorBidi" w:cstheme="majorBidi"/>
          <w:sz w:val="24"/>
          <w:szCs w:val="24"/>
        </w:rPr>
        <w:t xml:space="preserve">, 1983 </w:t>
      </w:r>
    </w:p>
    <w:p w:rsidR="009D7DD6" w:rsidRPr="00BB3F89" w:rsidRDefault="009D7DD6" w:rsidP="009D7DD6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lastRenderedPageBreak/>
        <w:t>Metode-metode</w:t>
      </w:r>
      <w:proofErr w:type="spellEnd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mengajar</w:t>
      </w:r>
      <w:proofErr w:type="spellEnd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Al-Qur'an </w:t>
      </w: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di</w:t>
      </w:r>
      <w:proofErr w:type="spellEnd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sekolah-sekolah</w:t>
      </w:r>
      <w:proofErr w:type="spellEnd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Umum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Dirjen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Pembinaan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Kelembagaan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Agama Islam 1994</w:t>
      </w:r>
    </w:p>
    <w:p w:rsidR="009D7DD6" w:rsidRPr="00884C19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4C19">
        <w:rPr>
          <w:rFonts w:asciiTheme="majorBidi" w:hAnsiTheme="majorBidi" w:cstheme="majorBidi"/>
          <w:sz w:val="24"/>
          <w:szCs w:val="24"/>
        </w:rPr>
        <w:t xml:space="preserve">Nana </w:t>
      </w:r>
      <w:proofErr w:type="spellStart"/>
      <w:r w:rsidRPr="00884C19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884C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884C19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884C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884C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884C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884C19">
        <w:rPr>
          <w:rFonts w:asciiTheme="majorBidi" w:hAnsiTheme="majorBidi" w:cstheme="majorBidi"/>
          <w:sz w:val="24"/>
          <w:szCs w:val="24"/>
        </w:rPr>
        <w:t xml:space="preserve"> Offset, 2005</w:t>
      </w:r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Algesindo</w:t>
      </w:r>
      <w:proofErr w:type="spellEnd"/>
      <w:r>
        <w:rPr>
          <w:rFonts w:asciiTheme="majorBidi" w:hAnsiTheme="majorBidi" w:cstheme="majorBidi"/>
          <w:sz w:val="24"/>
          <w:szCs w:val="24"/>
        </w:rPr>
        <w:t>, 2002</w:t>
      </w:r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Default="009D7DD6" w:rsidP="009D7DD6">
      <w:pPr>
        <w:pStyle w:val="FootnoteText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------------------,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3D04">
        <w:rPr>
          <w:rFonts w:asciiTheme="majorBidi" w:hAnsiTheme="majorBidi" w:cstheme="majorBidi"/>
          <w:i/>
          <w:iCs/>
          <w:sz w:val="24"/>
          <w:szCs w:val="24"/>
        </w:rPr>
        <w:t>Istem</w:t>
      </w:r>
      <w:proofErr w:type="spellEnd"/>
      <w:r w:rsidRPr="00EE3D0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E3D04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Jakarta, 2002</w:t>
      </w:r>
    </w:p>
    <w:p w:rsidR="009D7DD6" w:rsidRPr="00EE3D04" w:rsidRDefault="009D7DD6" w:rsidP="009D7DD6">
      <w:pPr>
        <w:pStyle w:val="FootnoteText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2366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Prasetya Irawan,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>Logika dan Prosedur Penelitian,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  <w:lang w:val="id-ID"/>
        </w:rPr>
        <w:t>Jakar</w:t>
      </w:r>
      <w:r>
        <w:rPr>
          <w:rFonts w:asciiTheme="majorBidi" w:hAnsiTheme="majorBidi" w:cstheme="majorBidi"/>
          <w:sz w:val="24"/>
          <w:szCs w:val="24"/>
          <w:lang w:val="id-ID"/>
        </w:rPr>
        <w:t>ta: STIA-LAN Press, 1999</w:t>
      </w:r>
    </w:p>
    <w:p w:rsidR="009D7DD6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BB3F89" w:rsidRDefault="009D7DD6" w:rsidP="009D7DD6">
      <w:pPr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gramStart"/>
      <w:r w:rsidRPr="00BB3F89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>, 2002</w:t>
      </w:r>
    </w:p>
    <w:p w:rsidR="009D7DD6" w:rsidRPr="00BB3F89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Bahresy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Singkat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B3F89">
        <w:rPr>
          <w:rFonts w:asciiTheme="majorBidi" w:hAnsiTheme="majorBidi" w:cstheme="majorBidi"/>
          <w:i/>
          <w:iCs/>
          <w:sz w:val="24"/>
          <w:szCs w:val="24"/>
        </w:rPr>
        <w:t>Katsier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</w:rPr>
        <w:t xml:space="preserve">Surabaya; PT.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Ilm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>, 1984</w:t>
      </w:r>
    </w:p>
    <w:p w:rsidR="009D7DD6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BB3F89" w:rsidRDefault="009D7DD6" w:rsidP="009D7DD6">
      <w:pPr>
        <w:spacing w:after="0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B3F89">
        <w:rPr>
          <w:rFonts w:asciiTheme="majorBidi" w:eastAsia="Times New Roman" w:hAnsiTheme="majorBidi" w:cstheme="majorBidi"/>
          <w:sz w:val="24"/>
          <w:szCs w:val="24"/>
        </w:rPr>
        <w:t>Supriyanto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Efektivitas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Pengajaran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Membaca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Qur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'an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Buku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Iqro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'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Taman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Pendidikan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Al-Qur'an</w:t>
      </w:r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Skripsi</w:t>
      </w:r>
      <w:proofErr w:type="spellEnd"/>
      <w:r w:rsidRPr="00BB3F89"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Sumber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Sari-</w:t>
      </w:r>
      <w:proofErr w:type="gramStart"/>
      <w:r w:rsidRPr="00BB3F89">
        <w:rPr>
          <w:rFonts w:asciiTheme="majorBidi" w:eastAsia="Times New Roman" w:hAnsiTheme="majorBidi" w:cstheme="majorBidi"/>
          <w:sz w:val="24"/>
          <w:szCs w:val="24"/>
        </w:rPr>
        <w:t>Malang :</w:t>
      </w:r>
      <w:proofErr w:type="gram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Jurusan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Sastra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Arab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Fakultas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Sastra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Universitas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 w:rsidRPr="00BB3F89">
        <w:rPr>
          <w:rFonts w:asciiTheme="majorBidi" w:eastAsia="Times New Roman" w:hAnsiTheme="majorBidi" w:cstheme="majorBidi"/>
          <w:sz w:val="24"/>
          <w:szCs w:val="24"/>
        </w:rPr>
        <w:t xml:space="preserve"> Malang, 2006.</w:t>
      </w:r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</w:p>
    <w:p w:rsidR="009D7DD6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2366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Suharsimi Arikunto,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Prosedur Penelitian Sebagai Suatu Pendekatan Praktek, </w:t>
      </w:r>
      <w:r w:rsidRPr="00BB3F89">
        <w:rPr>
          <w:rFonts w:asciiTheme="majorBidi" w:hAnsiTheme="majorBidi" w:cstheme="majorBidi"/>
          <w:sz w:val="24"/>
          <w:szCs w:val="24"/>
          <w:lang w:val="id-ID"/>
        </w:rPr>
        <w:t>Jaka</w:t>
      </w:r>
      <w:r>
        <w:rPr>
          <w:rFonts w:asciiTheme="majorBidi" w:hAnsiTheme="majorBidi" w:cstheme="majorBidi"/>
          <w:sz w:val="24"/>
          <w:szCs w:val="24"/>
          <w:lang w:val="id-ID"/>
        </w:rPr>
        <w:t>rta: Reinka Cipta, 2001</w:t>
      </w:r>
    </w:p>
    <w:p w:rsidR="009D7DD6" w:rsidRPr="00EE3D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7DD6" w:rsidRPr="00236604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S. Nasution,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 Penelitian Naturalistik, </w:t>
      </w:r>
      <w:r>
        <w:rPr>
          <w:rFonts w:asciiTheme="majorBidi" w:hAnsiTheme="majorBidi" w:cstheme="majorBidi"/>
          <w:sz w:val="24"/>
          <w:szCs w:val="24"/>
          <w:lang w:val="id-ID"/>
        </w:rPr>
        <w:t>Bandung: Tarsito, 1992</w:t>
      </w:r>
    </w:p>
    <w:p w:rsidR="009D7DD6" w:rsidRPr="00236604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7DD6" w:rsidRPr="00BB3F89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B3F89">
        <w:rPr>
          <w:rFonts w:asciiTheme="majorBidi" w:hAnsiTheme="majorBidi" w:cstheme="majorBidi"/>
          <w:sz w:val="24"/>
          <w:szCs w:val="24"/>
        </w:rPr>
        <w:t xml:space="preserve">. </w:t>
      </w:r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B3F8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3F89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BB3F8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 1993</w:t>
      </w:r>
    </w:p>
    <w:p w:rsidR="009D7DD6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4C19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884C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4C1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84C19">
        <w:rPr>
          <w:rFonts w:asciiTheme="majorBidi" w:hAnsiTheme="majorBidi" w:cstheme="majorBidi"/>
          <w:i/>
          <w:iCs/>
          <w:sz w:val="24"/>
          <w:szCs w:val="24"/>
        </w:rPr>
        <w:t xml:space="preserve"> R7D,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  <w:r w:rsidRPr="00884C19">
        <w:rPr>
          <w:rFonts w:asciiTheme="majorBidi" w:hAnsiTheme="majorBidi" w:cstheme="majorBidi"/>
          <w:sz w:val="24"/>
          <w:szCs w:val="24"/>
        </w:rPr>
        <w:t xml:space="preserve"> </w:t>
      </w:r>
    </w:p>
    <w:p w:rsidR="009D7DD6" w:rsidRPr="00884C19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9D7DD6" w:rsidRPr="00BB3F89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RI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14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2005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PP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74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2008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B3F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F89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B3F89">
        <w:rPr>
          <w:rFonts w:asciiTheme="majorBidi" w:hAnsiTheme="majorBidi" w:cstheme="majorBidi"/>
          <w:sz w:val="24"/>
          <w:szCs w:val="24"/>
        </w:rPr>
        <w:t>Bandu</w:t>
      </w:r>
      <w:r>
        <w:rPr>
          <w:rFonts w:asciiTheme="majorBidi" w:hAnsiTheme="majorBidi" w:cstheme="majorBidi"/>
          <w:sz w:val="24"/>
          <w:szCs w:val="24"/>
        </w:rPr>
        <w:t xml:space="preserve">ng : Citra </w:t>
      </w:r>
      <w:proofErr w:type="spellStart"/>
      <w:r>
        <w:rPr>
          <w:rFonts w:asciiTheme="majorBidi" w:hAnsiTheme="majorBidi" w:cstheme="majorBidi"/>
          <w:sz w:val="24"/>
          <w:szCs w:val="24"/>
        </w:rPr>
        <w:t>Umbara</w:t>
      </w:r>
      <w:proofErr w:type="spellEnd"/>
      <w:r>
        <w:rPr>
          <w:rFonts w:asciiTheme="majorBidi" w:hAnsiTheme="majorBidi" w:cstheme="majorBidi"/>
          <w:sz w:val="24"/>
          <w:szCs w:val="24"/>
        </w:rPr>
        <w:t>, 2009</w:t>
      </w:r>
    </w:p>
    <w:p w:rsidR="009D7DD6" w:rsidRDefault="009D7DD6" w:rsidP="009D7DD6">
      <w:pPr>
        <w:pStyle w:val="FootnoteText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2366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Wina Sanjaya,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Pembelajaran Berorientasi Standar Proses Pendidikan, </w:t>
      </w:r>
      <w:r>
        <w:rPr>
          <w:rFonts w:asciiTheme="majorBidi" w:hAnsiTheme="majorBidi" w:cstheme="majorBidi"/>
          <w:sz w:val="24"/>
          <w:szCs w:val="24"/>
          <w:lang w:val="id-ID"/>
        </w:rPr>
        <w:t>Jakarta: Kencana, 2007</w:t>
      </w:r>
    </w:p>
    <w:p w:rsidR="009D7DD6" w:rsidRDefault="009D7DD6" w:rsidP="009D7DD6">
      <w:pPr>
        <w:pStyle w:val="FootnoteText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7DD6" w:rsidRPr="00236604" w:rsidRDefault="009D7DD6" w:rsidP="009D7DD6">
      <w:pPr>
        <w:pStyle w:val="FootnoteText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Yonna S. Lincoln, </w:t>
      </w:r>
      <w:r w:rsidRPr="00BB3F8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Naturalistic Inquiry, </w:t>
      </w:r>
      <w:r w:rsidRPr="00BB3F89">
        <w:rPr>
          <w:rFonts w:asciiTheme="majorBidi" w:hAnsiTheme="majorBidi" w:cstheme="majorBidi"/>
          <w:sz w:val="24"/>
          <w:szCs w:val="24"/>
          <w:lang w:val="id-ID"/>
        </w:rPr>
        <w:t xml:space="preserve">Beverly hills: </w:t>
      </w:r>
      <w:r>
        <w:rPr>
          <w:rFonts w:asciiTheme="majorBidi" w:hAnsiTheme="majorBidi" w:cstheme="majorBidi"/>
          <w:sz w:val="24"/>
          <w:szCs w:val="24"/>
          <w:lang w:val="id-ID"/>
        </w:rPr>
        <w:t>Sage Publication, 1985</w:t>
      </w:r>
    </w:p>
    <w:p w:rsidR="009D7DD6" w:rsidRDefault="009D7DD6" w:rsidP="009D7DD6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:rsidR="00190B33" w:rsidRPr="00190B33" w:rsidRDefault="00190B33" w:rsidP="00190B33">
      <w:pPr>
        <w:tabs>
          <w:tab w:val="left" w:pos="993"/>
        </w:tabs>
        <w:spacing w:after="0" w:line="480" w:lineRule="auto"/>
        <w:ind w:left="993" w:hanging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C7EC7" w:rsidRPr="00190B33" w:rsidRDefault="006C7EC7" w:rsidP="00190B33">
      <w:pPr>
        <w:spacing w:after="0" w:line="48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6C7EC7" w:rsidRDefault="006C7EC7" w:rsidP="006C7EC7">
      <w:pPr>
        <w:tabs>
          <w:tab w:val="left" w:pos="567"/>
        </w:tabs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F707D2" w:rsidRPr="00173B0B" w:rsidRDefault="00F707D2" w:rsidP="00F707D2">
      <w:pPr>
        <w:spacing w:line="480" w:lineRule="auto"/>
        <w:ind w:left="567" w:hanging="283"/>
        <w:rPr>
          <w:rFonts w:asciiTheme="majorBidi" w:hAnsiTheme="majorBidi" w:cstheme="majorBidi"/>
          <w:sz w:val="24"/>
          <w:szCs w:val="24"/>
        </w:rPr>
      </w:pPr>
    </w:p>
    <w:sectPr w:rsidR="00F707D2" w:rsidRPr="00173B0B" w:rsidSect="00893E2E">
      <w:headerReference w:type="default" r:id="rId9"/>
      <w:pgSz w:w="12240" w:h="15840" w:code="1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D4" w:rsidRDefault="00736FD4" w:rsidP="00CE2120">
      <w:pPr>
        <w:spacing w:after="0"/>
      </w:pPr>
      <w:r>
        <w:separator/>
      </w:r>
    </w:p>
  </w:endnote>
  <w:endnote w:type="continuationSeparator" w:id="1">
    <w:p w:rsidR="00736FD4" w:rsidRDefault="00736FD4" w:rsidP="00CE21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D4" w:rsidRDefault="00736FD4" w:rsidP="00CE2120">
      <w:pPr>
        <w:spacing w:after="0"/>
      </w:pPr>
      <w:r>
        <w:separator/>
      </w:r>
    </w:p>
  </w:footnote>
  <w:footnote w:type="continuationSeparator" w:id="1">
    <w:p w:rsidR="00736FD4" w:rsidRDefault="00736FD4" w:rsidP="00CE21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8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CE2120" w:rsidRDefault="00020FBE">
        <w:pPr>
          <w:pStyle w:val="Header"/>
          <w:jc w:val="right"/>
        </w:pPr>
        <w:r w:rsidRPr="00CE212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E2120" w:rsidRPr="00CE212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E212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0209D">
          <w:rPr>
            <w:rFonts w:asciiTheme="majorBidi" w:hAnsiTheme="majorBidi" w:cstheme="majorBidi"/>
            <w:noProof/>
            <w:sz w:val="24"/>
            <w:szCs w:val="24"/>
          </w:rPr>
          <w:t>137</w:t>
        </w:r>
        <w:r w:rsidRPr="00CE212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E2120" w:rsidRDefault="00CE2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586"/>
    <w:multiLevelType w:val="hybridMultilevel"/>
    <w:tmpl w:val="8396727E"/>
    <w:lvl w:ilvl="0" w:tplc="4516B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C328BD"/>
    <w:multiLevelType w:val="hybridMultilevel"/>
    <w:tmpl w:val="BDB6A504"/>
    <w:lvl w:ilvl="0" w:tplc="C62C26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B0B"/>
    <w:rsid w:val="00020FBE"/>
    <w:rsid w:val="00173B0B"/>
    <w:rsid w:val="00190B33"/>
    <w:rsid w:val="002C562F"/>
    <w:rsid w:val="002C5785"/>
    <w:rsid w:val="002C749F"/>
    <w:rsid w:val="002D359A"/>
    <w:rsid w:val="002D6F0E"/>
    <w:rsid w:val="00316DCA"/>
    <w:rsid w:val="00344969"/>
    <w:rsid w:val="003C637D"/>
    <w:rsid w:val="003F6671"/>
    <w:rsid w:val="004D0589"/>
    <w:rsid w:val="00517329"/>
    <w:rsid w:val="00661BB3"/>
    <w:rsid w:val="006A1C85"/>
    <w:rsid w:val="006C7EC7"/>
    <w:rsid w:val="0070446D"/>
    <w:rsid w:val="00736FD4"/>
    <w:rsid w:val="007506D0"/>
    <w:rsid w:val="00764314"/>
    <w:rsid w:val="00787B4B"/>
    <w:rsid w:val="0084380E"/>
    <w:rsid w:val="008551AD"/>
    <w:rsid w:val="00883D0F"/>
    <w:rsid w:val="00893E2E"/>
    <w:rsid w:val="00915314"/>
    <w:rsid w:val="009D2E8C"/>
    <w:rsid w:val="009D7DD6"/>
    <w:rsid w:val="00A2444D"/>
    <w:rsid w:val="00AC6627"/>
    <w:rsid w:val="00B20FAD"/>
    <w:rsid w:val="00B76E89"/>
    <w:rsid w:val="00BE4795"/>
    <w:rsid w:val="00C0209D"/>
    <w:rsid w:val="00C05E26"/>
    <w:rsid w:val="00C2269D"/>
    <w:rsid w:val="00CB679C"/>
    <w:rsid w:val="00CC49FB"/>
    <w:rsid w:val="00CE2120"/>
    <w:rsid w:val="00D014F6"/>
    <w:rsid w:val="00D01D32"/>
    <w:rsid w:val="00D20938"/>
    <w:rsid w:val="00D62C36"/>
    <w:rsid w:val="00DC3090"/>
    <w:rsid w:val="00DD47AE"/>
    <w:rsid w:val="00E04095"/>
    <w:rsid w:val="00E320ED"/>
    <w:rsid w:val="00E65E0C"/>
    <w:rsid w:val="00F614E7"/>
    <w:rsid w:val="00F707D2"/>
    <w:rsid w:val="00F77BC1"/>
    <w:rsid w:val="00F92E46"/>
    <w:rsid w:val="00F9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"/>
        <w:szCs w:val="14"/>
        <w:lang w:val="en-US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1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2120"/>
  </w:style>
  <w:style w:type="paragraph" w:styleId="Footer">
    <w:name w:val="footer"/>
    <w:basedOn w:val="Normal"/>
    <w:link w:val="FooterChar"/>
    <w:uiPriority w:val="99"/>
    <w:semiHidden/>
    <w:unhideWhenUsed/>
    <w:rsid w:val="00CE21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120"/>
  </w:style>
  <w:style w:type="paragraph" w:styleId="FootnoteText">
    <w:name w:val="footnote text"/>
    <w:basedOn w:val="Normal"/>
    <w:link w:val="FootnoteTextChar"/>
    <w:unhideWhenUsed/>
    <w:rsid w:val="009D7DD6"/>
    <w:pPr>
      <w:spacing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DD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kbn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5CEC-31DF-421A-8BFE-345D3D09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2010-12-22T03:01:00Z</cp:lastPrinted>
  <dcterms:created xsi:type="dcterms:W3CDTF">2011-03-04T02:25:00Z</dcterms:created>
  <dcterms:modified xsi:type="dcterms:W3CDTF">2011-03-08T16:06:00Z</dcterms:modified>
</cp:coreProperties>
</file>